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330"/>
      </w:tblGrid>
      <w:tr w:rsidR="004B1A93" w14:paraId="774D511A" w14:textId="77777777" w:rsidTr="006E05E0">
        <w:tc>
          <w:tcPr>
            <w:tcW w:w="6750" w:type="dxa"/>
          </w:tcPr>
          <w:p w14:paraId="489D1B37" w14:textId="1EDBEAED" w:rsidR="00A92D88" w:rsidRDefault="00A92D88" w:rsidP="00594507">
            <w:pPr>
              <w:pStyle w:val="Typicaltext"/>
              <w:rPr>
                <w:rFonts w:ascii="Georgia" w:hAnsi="Georgia" w:cs="Arial"/>
                <w:b/>
                <w:bCs/>
                <w:i/>
                <w:noProof w:val="0"/>
                <w:sz w:val="36"/>
                <w:szCs w:val="36"/>
              </w:rPr>
            </w:pPr>
            <w:bookmarkStart w:id="0" w:name="_Hlk31689154"/>
            <w:r w:rsidRPr="00A92D88">
              <w:rPr>
                <w:rFonts w:ascii="Georgia" w:hAnsi="Georgia" w:cs="Arial"/>
                <w:b/>
                <w:bCs/>
                <w:i/>
                <w:noProof w:val="0"/>
                <w:sz w:val="36"/>
                <w:szCs w:val="36"/>
              </w:rPr>
              <w:t>Appendix:</w:t>
            </w:r>
            <w:r w:rsidR="00134377">
              <w:rPr>
                <w:rFonts w:ascii="Georgia" w:hAnsi="Georgia" w:cs="Arial"/>
                <w:b/>
                <w:bCs/>
                <w:i/>
                <w:noProof w:val="0"/>
                <w:sz w:val="36"/>
                <w:szCs w:val="36"/>
              </w:rPr>
              <w:t xml:space="preserve"> </w:t>
            </w:r>
            <w:r w:rsidRPr="00A92D88">
              <w:rPr>
                <w:rFonts w:ascii="Georgia" w:hAnsi="Georgia" w:cs="Arial"/>
                <w:b/>
                <w:bCs/>
                <w:i/>
                <w:noProof w:val="0"/>
                <w:sz w:val="36"/>
                <w:szCs w:val="36"/>
              </w:rPr>
              <w:t>More Space: Main Street Application</w:t>
            </w:r>
          </w:p>
          <w:p w14:paraId="6D40FD1A" w14:textId="77777777" w:rsidR="004B1A93" w:rsidRPr="002B75A4" w:rsidRDefault="004B1A93" w:rsidP="00A92D88">
            <w:pPr>
              <w:pStyle w:val="Typicaltext"/>
              <w:rPr>
                <w:rFonts w:ascii="Georgia" w:hAnsi="Georgia"/>
                <w:sz w:val="16"/>
                <w:szCs w:val="16"/>
              </w:rPr>
            </w:pPr>
          </w:p>
        </w:tc>
        <w:tc>
          <w:tcPr>
            <w:tcW w:w="3330" w:type="dxa"/>
          </w:tcPr>
          <w:p w14:paraId="713AC966" w14:textId="77777777" w:rsidR="004B1A93" w:rsidRDefault="004B1A93" w:rsidP="004B1A93">
            <w:pPr>
              <w:pStyle w:val="ReportHeadline"/>
              <w:spacing w:before="240"/>
              <w:rPr>
                <w:rFonts w:ascii="Georgia" w:hAnsi="Georgia"/>
              </w:rPr>
            </w:pPr>
            <w:r w:rsidRPr="004B1A93">
              <w:rPr>
                <w:rFonts w:ascii="Georgia" w:hAnsi="Georgia"/>
              </w:rPr>
              <w:drawing>
                <wp:anchor distT="0" distB="0" distL="114300" distR="114300" simplePos="0" relativeHeight="251660800" behindDoc="1" locked="0" layoutInCell="1" allowOverlap="1" wp14:anchorId="323E365F" wp14:editId="1EDD89DC">
                  <wp:simplePos x="0" y="0"/>
                  <wp:positionH relativeFrom="column">
                    <wp:posOffset>218440</wp:posOffset>
                  </wp:positionH>
                  <wp:positionV relativeFrom="paragraph">
                    <wp:posOffset>6350</wp:posOffset>
                  </wp:positionV>
                  <wp:extent cx="1828800" cy="7404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with PD BW Transparen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40410"/>
                          </a:xfrm>
                          <a:prstGeom prst="rect">
                            <a:avLst/>
                          </a:prstGeom>
                        </pic:spPr>
                      </pic:pic>
                    </a:graphicData>
                  </a:graphic>
                  <wp14:sizeRelH relativeFrom="page">
                    <wp14:pctWidth>0</wp14:pctWidth>
                  </wp14:sizeRelH>
                  <wp14:sizeRelV relativeFrom="page">
                    <wp14:pctHeight>0</wp14:pctHeight>
                  </wp14:sizeRelV>
                </wp:anchor>
              </w:drawing>
            </w:r>
          </w:p>
        </w:tc>
      </w:tr>
    </w:tbl>
    <w:bookmarkEnd w:id="0"/>
    <w:p w14:paraId="62F3F329" w14:textId="77777777" w:rsidR="00466FC8" w:rsidRPr="00466FC8" w:rsidRDefault="00466FC8" w:rsidP="00466FC8">
      <w:pPr>
        <w:numPr>
          <w:ilvl w:val="0"/>
          <w:numId w:val="21"/>
        </w:numPr>
        <w:spacing w:line="240" w:lineRule="auto"/>
        <w:rPr>
          <w:rFonts w:cstheme="minorHAnsi"/>
          <w:color w:val="222222"/>
        </w:rPr>
      </w:pPr>
      <w:r w:rsidRPr="00466FC8">
        <w:rPr>
          <w:rFonts w:cstheme="minorHAnsi"/>
          <w:color w:val="222222"/>
        </w:rPr>
        <w:t>What is the name and street address of the applicant?</w:t>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p>
    <w:p w14:paraId="43C44536" w14:textId="77777777" w:rsidR="00466FC8" w:rsidRPr="00466FC8" w:rsidRDefault="00466FC8" w:rsidP="00466FC8">
      <w:pPr>
        <w:spacing w:line="240" w:lineRule="auto"/>
        <w:ind w:left="720"/>
        <w:rPr>
          <w:rFonts w:cstheme="minorHAnsi"/>
          <w:color w:val="222222"/>
        </w:rPr>
      </w:pPr>
    </w:p>
    <w:p w14:paraId="5B9FEFDF" w14:textId="77777777" w:rsidR="00466FC8" w:rsidRPr="00466FC8" w:rsidRDefault="00466FC8" w:rsidP="00466FC8">
      <w:pPr>
        <w:numPr>
          <w:ilvl w:val="0"/>
          <w:numId w:val="21"/>
        </w:numPr>
        <w:spacing w:line="240" w:lineRule="auto"/>
        <w:rPr>
          <w:rFonts w:cstheme="minorHAnsi"/>
          <w:color w:val="222222"/>
        </w:rPr>
      </w:pPr>
      <w:r w:rsidRPr="00466FC8">
        <w:rPr>
          <w:rFonts w:cstheme="minorHAnsi"/>
          <w:color w:val="222222"/>
        </w:rPr>
        <w:t>What is the name under which the business operates?</w:t>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p>
    <w:p w14:paraId="21C23440" w14:textId="77777777" w:rsidR="00466FC8" w:rsidRPr="00466FC8" w:rsidRDefault="00466FC8" w:rsidP="00466FC8">
      <w:pPr>
        <w:spacing w:line="240" w:lineRule="auto"/>
        <w:ind w:left="720"/>
        <w:rPr>
          <w:rFonts w:cstheme="minorHAnsi"/>
          <w:color w:val="222222"/>
        </w:rPr>
      </w:pPr>
    </w:p>
    <w:p w14:paraId="325B46DB" w14:textId="77777777" w:rsidR="00466FC8" w:rsidRPr="00466FC8" w:rsidRDefault="00466FC8" w:rsidP="00466FC8">
      <w:pPr>
        <w:numPr>
          <w:ilvl w:val="0"/>
          <w:numId w:val="21"/>
        </w:numPr>
        <w:spacing w:line="240" w:lineRule="auto"/>
        <w:rPr>
          <w:rFonts w:cstheme="minorHAnsi"/>
          <w:color w:val="222222"/>
        </w:rPr>
      </w:pPr>
      <w:r w:rsidRPr="00466FC8">
        <w:rPr>
          <w:rFonts w:cstheme="minorHAnsi"/>
          <w:color w:val="222222"/>
        </w:rPr>
        <w:t>What is the name and street address of the owner of the abutting property?</w:t>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p>
    <w:p w14:paraId="72B9FD99" w14:textId="77777777" w:rsidR="00466FC8" w:rsidRPr="00466FC8" w:rsidRDefault="00466FC8" w:rsidP="00466FC8">
      <w:pPr>
        <w:spacing w:line="240" w:lineRule="auto"/>
        <w:ind w:left="720"/>
        <w:rPr>
          <w:rFonts w:cstheme="minorHAnsi"/>
          <w:color w:val="222222"/>
        </w:rPr>
      </w:pPr>
    </w:p>
    <w:p w14:paraId="6442BFB4" w14:textId="77777777" w:rsidR="00466FC8" w:rsidRPr="00466FC8" w:rsidRDefault="00466FC8" w:rsidP="00466FC8">
      <w:pPr>
        <w:numPr>
          <w:ilvl w:val="0"/>
          <w:numId w:val="21"/>
        </w:numPr>
        <w:spacing w:line="240" w:lineRule="auto"/>
        <w:rPr>
          <w:rFonts w:cstheme="minorHAnsi"/>
          <w:color w:val="222222"/>
        </w:rPr>
      </w:pPr>
      <w:r w:rsidRPr="00466FC8">
        <w:rPr>
          <w:rFonts w:cstheme="minorHAnsi"/>
          <w:color w:val="222222"/>
        </w:rPr>
        <w:t>If different than #3, what is the name and the owner of the abutting business?</w:t>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p>
    <w:p w14:paraId="6FC15699" w14:textId="77777777" w:rsidR="00466FC8" w:rsidRPr="00466FC8" w:rsidRDefault="00466FC8" w:rsidP="00466FC8">
      <w:pPr>
        <w:spacing w:line="240" w:lineRule="auto"/>
        <w:ind w:left="720"/>
        <w:rPr>
          <w:rFonts w:cstheme="minorHAnsi"/>
          <w:color w:val="222222"/>
        </w:rPr>
      </w:pPr>
    </w:p>
    <w:p w14:paraId="67240F3C" w14:textId="77777777" w:rsidR="00466FC8" w:rsidRPr="00466FC8" w:rsidRDefault="00466FC8" w:rsidP="00466FC8">
      <w:pPr>
        <w:numPr>
          <w:ilvl w:val="0"/>
          <w:numId w:val="21"/>
        </w:numPr>
        <w:spacing w:line="240" w:lineRule="auto"/>
        <w:rPr>
          <w:rFonts w:cstheme="minorHAnsi"/>
          <w:color w:val="222222"/>
        </w:rPr>
      </w:pPr>
      <w:r w:rsidRPr="00466FC8">
        <w:rPr>
          <w:rFonts w:cstheme="minorHAnsi"/>
          <w:color w:val="222222"/>
        </w:rPr>
        <w:t>What is the street address and the city food establishment license number of the business?</w:t>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p>
    <w:p w14:paraId="6D69611D" w14:textId="77777777" w:rsidR="00466FC8" w:rsidRPr="00466FC8" w:rsidRDefault="00466FC8" w:rsidP="00466FC8">
      <w:pPr>
        <w:spacing w:line="240" w:lineRule="auto"/>
        <w:ind w:left="720"/>
        <w:rPr>
          <w:rFonts w:cstheme="minorHAnsi"/>
          <w:color w:val="222222"/>
        </w:rPr>
      </w:pPr>
    </w:p>
    <w:p w14:paraId="7EBF7A16" w14:textId="77777777" w:rsidR="00466FC8" w:rsidRPr="00466FC8" w:rsidRDefault="00466FC8" w:rsidP="00466FC8">
      <w:pPr>
        <w:numPr>
          <w:ilvl w:val="0"/>
          <w:numId w:val="21"/>
        </w:numPr>
        <w:spacing w:line="240" w:lineRule="auto"/>
        <w:rPr>
          <w:rFonts w:cstheme="minorHAnsi"/>
          <w:color w:val="222222"/>
        </w:rPr>
      </w:pPr>
      <w:r w:rsidRPr="00466FC8">
        <w:rPr>
          <w:rFonts w:cstheme="minorHAnsi"/>
          <w:color w:val="222222"/>
        </w:rPr>
        <w:t>What is the seating capacity of?</w:t>
      </w:r>
    </w:p>
    <w:p w14:paraId="12BB9535" w14:textId="77777777" w:rsidR="00466FC8" w:rsidRPr="00466FC8" w:rsidRDefault="00466FC8" w:rsidP="00466FC8">
      <w:pPr>
        <w:numPr>
          <w:ilvl w:val="0"/>
          <w:numId w:val="24"/>
        </w:numPr>
        <w:spacing w:line="240" w:lineRule="auto"/>
        <w:rPr>
          <w:rFonts w:cstheme="minorHAnsi"/>
          <w:color w:val="222222"/>
        </w:rPr>
      </w:pPr>
      <w:r w:rsidRPr="00466FC8">
        <w:rPr>
          <w:rFonts w:cstheme="minorHAnsi"/>
          <w:color w:val="222222"/>
        </w:rPr>
        <w:t>interior business:</w:t>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p>
    <w:p w14:paraId="4157C56E" w14:textId="77777777" w:rsidR="00466FC8" w:rsidRPr="00466FC8" w:rsidRDefault="00466FC8" w:rsidP="00466FC8">
      <w:pPr>
        <w:numPr>
          <w:ilvl w:val="0"/>
          <w:numId w:val="24"/>
        </w:numPr>
        <w:spacing w:line="240" w:lineRule="auto"/>
        <w:rPr>
          <w:rFonts w:cstheme="minorHAnsi"/>
          <w:color w:val="222222"/>
        </w:rPr>
      </w:pPr>
      <w:r w:rsidRPr="00466FC8">
        <w:rPr>
          <w:rFonts w:cstheme="minorHAnsi"/>
          <w:color w:val="222222"/>
        </w:rPr>
        <w:t>any existing sidewalk café space (if applicable):</w:t>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p>
    <w:p w14:paraId="5F3DE91F" w14:textId="77777777" w:rsidR="00466FC8" w:rsidRPr="00466FC8" w:rsidRDefault="00466FC8" w:rsidP="00466FC8">
      <w:pPr>
        <w:numPr>
          <w:ilvl w:val="0"/>
          <w:numId w:val="24"/>
        </w:numPr>
        <w:spacing w:line="240" w:lineRule="auto"/>
        <w:rPr>
          <w:rFonts w:cstheme="minorHAnsi"/>
          <w:color w:val="222222"/>
        </w:rPr>
      </w:pPr>
      <w:r w:rsidRPr="00466FC8">
        <w:rPr>
          <w:rFonts w:cstheme="minorHAnsi"/>
          <w:color w:val="222222"/>
        </w:rPr>
        <w:t>requested More Space Area:</w:t>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r w:rsidRPr="00466FC8">
        <w:rPr>
          <w:rFonts w:cstheme="minorHAnsi"/>
          <w:color w:val="222222"/>
          <w:u w:val="single"/>
        </w:rPr>
        <w:tab/>
      </w:r>
    </w:p>
    <w:p w14:paraId="65253422" w14:textId="28DE612F" w:rsidR="00466FC8" w:rsidRPr="00466FC8" w:rsidRDefault="00466FC8" w:rsidP="00466FC8">
      <w:pPr>
        <w:spacing w:line="240" w:lineRule="auto"/>
        <w:ind w:firstLine="720"/>
        <w:rPr>
          <w:rFonts w:cstheme="minorHAnsi"/>
          <w:i w:val="0"/>
          <w:iCs w:val="0"/>
          <w:color w:val="222222"/>
        </w:rPr>
      </w:pPr>
      <w:r w:rsidRPr="00466FC8">
        <w:rPr>
          <w:rFonts w:cstheme="minorHAnsi"/>
          <w:color w:val="222222"/>
        </w:rPr>
        <w:t>Note: Capacity should be provided based on approved permits (not specific to COVID-19 limitations)</w:t>
      </w:r>
    </w:p>
    <w:p w14:paraId="5F4DEF71" w14:textId="77777777" w:rsidR="00466FC8" w:rsidRPr="00466FC8" w:rsidRDefault="00466FC8" w:rsidP="00466FC8">
      <w:pPr>
        <w:spacing w:line="240" w:lineRule="auto"/>
        <w:ind w:firstLine="720"/>
        <w:rPr>
          <w:rFonts w:cstheme="minorHAnsi"/>
          <w:i w:val="0"/>
          <w:iCs w:val="0"/>
          <w:color w:val="222222"/>
        </w:rPr>
      </w:pPr>
    </w:p>
    <w:p w14:paraId="4BE79BE4" w14:textId="77777777" w:rsidR="00466FC8" w:rsidRPr="00466FC8" w:rsidRDefault="00466FC8" w:rsidP="00466FC8">
      <w:pPr>
        <w:numPr>
          <w:ilvl w:val="0"/>
          <w:numId w:val="21"/>
        </w:numPr>
        <w:spacing w:line="240" w:lineRule="auto"/>
        <w:rPr>
          <w:rFonts w:cstheme="minorHAnsi"/>
          <w:color w:val="222222"/>
        </w:rPr>
      </w:pPr>
      <w:r w:rsidRPr="00466FC8">
        <w:rPr>
          <w:rFonts w:cs="Calibri"/>
        </w:rPr>
        <w:t>Attach a color photograph of the existing business location and neighboring business.</w:t>
      </w:r>
    </w:p>
    <w:p w14:paraId="0F544B81" w14:textId="77777777" w:rsidR="00466FC8" w:rsidRPr="00466FC8" w:rsidRDefault="00466FC8" w:rsidP="00466FC8">
      <w:pPr>
        <w:spacing w:line="240" w:lineRule="auto"/>
        <w:ind w:left="720"/>
        <w:rPr>
          <w:rFonts w:cstheme="minorHAnsi"/>
          <w:color w:val="222222"/>
        </w:rPr>
      </w:pPr>
    </w:p>
    <w:p w14:paraId="2FE146E4" w14:textId="0DB14C29" w:rsidR="00466FC8" w:rsidRPr="00466FC8" w:rsidRDefault="00466FC8" w:rsidP="00466FC8">
      <w:pPr>
        <w:numPr>
          <w:ilvl w:val="0"/>
          <w:numId w:val="21"/>
        </w:numPr>
        <w:spacing w:line="240" w:lineRule="auto"/>
        <w:rPr>
          <w:rFonts w:cstheme="minorHAnsi"/>
          <w:color w:val="222222"/>
        </w:rPr>
      </w:pPr>
      <w:r w:rsidRPr="00466FC8">
        <w:rPr>
          <w:rFonts w:cstheme="minorHAnsi"/>
          <w:color w:val="222222"/>
        </w:rPr>
        <w:t>Attach written authority in the form of a power of attorney</w:t>
      </w:r>
      <w:r w:rsidR="00752596">
        <w:rPr>
          <w:rFonts w:cstheme="minorHAnsi"/>
          <w:color w:val="222222"/>
        </w:rPr>
        <w:t xml:space="preserve"> or letter</w:t>
      </w:r>
      <w:r w:rsidRPr="00466FC8">
        <w:rPr>
          <w:rFonts w:cstheme="minorHAnsi"/>
          <w:color w:val="222222"/>
        </w:rPr>
        <w:t xml:space="preserve"> from the owner to submit the application if the applicant is not the owner of the property.</w:t>
      </w:r>
      <w:r w:rsidR="00752596">
        <w:rPr>
          <w:rFonts w:cstheme="minorHAnsi"/>
          <w:color w:val="222222"/>
        </w:rPr>
        <w:t xml:space="preserve"> </w:t>
      </w:r>
    </w:p>
    <w:p w14:paraId="7069670D" w14:textId="77777777" w:rsidR="00466FC8" w:rsidRPr="00466FC8" w:rsidRDefault="00466FC8" w:rsidP="00466FC8">
      <w:pPr>
        <w:spacing w:line="240" w:lineRule="auto"/>
        <w:ind w:left="720"/>
        <w:rPr>
          <w:rFonts w:cstheme="minorHAnsi"/>
          <w:color w:val="222222"/>
        </w:rPr>
      </w:pPr>
    </w:p>
    <w:p w14:paraId="16A34FD7" w14:textId="77777777" w:rsidR="00466FC8" w:rsidRPr="00466FC8" w:rsidRDefault="00466FC8" w:rsidP="00466FC8">
      <w:pPr>
        <w:numPr>
          <w:ilvl w:val="0"/>
          <w:numId w:val="21"/>
        </w:numPr>
        <w:spacing w:line="240" w:lineRule="auto"/>
        <w:rPr>
          <w:rFonts w:cstheme="minorHAnsi"/>
          <w:color w:val="222222"/>
        </w:rPr>
      </w:pPr>
      <w:r w:rsidRPr="00466FC8">
        <w:rPr>
          <w:rFonts w:cstheme="minorHAnsi"/>
          <w:color w:val="222222"/>
        </w:rPr>
        <w:t xml:space="preserve">Attach schematic layout and plan of the proposed </w:t>
      </w:r>
      <w:r w:rsidRPr="00466FC8">
        <w:rPr>
          <w:rFonts w:cs="Calibri"/>
        </w:rPr>
        <w:t>More Space Area</w:t>
      </w:r>
      <w:r w:rsidRPr="00466FC8">
        <w:rPr>
          <w:rFonts w:cstheme="minorHAnsi"/>
          <w:color w:val="222222"/>
        </w:rPr>
        <w:t xml:space="preserve"> boundaries, design/materials, furnishings and umbrellas, measurements, and ADA access. </w:t>
      </w:r>
    </w:p>
    <w:p w14:paraId="123AB729" w14:textId="77777777" w:rsidR="00466FC8" w:rsidRPr="00466FC8" w:rsidRDefault="00466FC8" w:rsidP="00466FC8">
      <w:pPr>
        <w:spacing w:line="240" w:lineRule="auto"/>
        <w:ind w:left="720"/>
        <w:rPr>
          <w:rFonts w:cstheme="minorHAnsi"/>
          <w:color w:val="222222"/>
        </w:rPr>
      </w:pPr>
    </w:p>
    <w:p w14:paraId="71916161" w14:textId="77777777" w:rsidR="00466FC8" w:rsidRPr="00466FC8" w:rsidRDefault="00466FC8" w:rsidP="00466FC8">
      <w:pPr>
        <w:numPr>
          <w:ilvl w:val="0"/>
          <w:numId w:val="21"/>
        </w:numPr>
        <w:spacing w:line="240" w:lineRule="auto"/>
        <w:rPr>
          <w:rFonts w:cstheme="minorHAnsi"/>
          <w:color w:val="222222"/>
        </w:rPr>
      </w:pPr>
      <w:r w:rsidRPr="00466FC8">
        <w:rPr>
          <w:rFonts w:cstheme="minorHAnsi"/>
          <w:color w:val="222222"/>
        </w:rPr>
        <w:t>Attach a copy or copies of the certificate or certificates of insurance required as identified in the (previously required as part of business license):</w:t>
      </w:r>
    </w:p>
    <w:p w14:paraId="7151BCFF" w14:textId="77777777" w:rsidR="00466FC8" w:rsidRPr="00466FC8" w:rsidRDefault="00466FC8" w:rsidP="00466FC8">
      <w:pPr>
        <w:numPr>
          <w:ilvl w:val="0"/>
          <w:numId w:val="22"/>
        </w:numPr>
        <w:spacing w:line="240" w:lineRule="auto"/>
        <w:rPr>
          <w:rFonts w:cstheme="minorHAnsi"/>
          <w:color w:val="222222"/>
        </w:rPr>
      </w:pPr>
      <w:r w:rsidRPr="00466FC8">
        <w:rPr>
          <w:rFonts w:cstheme="minorHAnsi"/>
          <w:color w:val="222222"/>
        </w:rPr>
        <w:t>$1 million combined single limit for bodily injury and property damage for each occurrence. </w:t>
      </w:r>
    </w:p>
    <w:p w14:paraId="67CC7F17" w14:textId="77777777" w:rsidR="00466FC8" w:rsidRPr="00466FC8" w:rsidRDefault="00466FC8" w:rsidP="00466FC8">
      <w:pPr>
        <w:numPr>
          <w:ilvl w:val="0"/>
          <w:numId w:val="22"/>
        </w:numPr>
        <w:spacing w:line="240" w:lineRule="auto"/>
        <w:rPr>
          <w:rFonts w:cstheme="minorHAnsi"/>
          <w:color w:val="222222"/>
        </w:rPr>
      </w:pPr>
      <w:r w:rsidRPr="00466FC8">
        <w:rPr>
          <w:rFonts w:cstheme="minorHAnsi"/>
          <w:color w:val="222222"/>
        </w:rPr>
        <w:t>$2 million annual aggregate</w:t>
      </w:r>
    </w:p>
    <w:p w14:paraId="2B348A52" w14:textId="77777777" w:rsidR="00466FC8" w:rsidRPr="00466FC8" w:rsidRDefault="00466FC8" w:rsidP="00466FC8">
      <w:pPr>
        <w:numPr>
          <w:ilvl w:val="0"/>
          <w:numId w:val="22"/>
        </w:numPr>
        <w:spacing w:line="240" w:lineRule="auto"/>
        <w:rPr>
          <w:rFonts w:cstheme="minorHAnsi"/>
          <w:color w:val="222222"/>
        </w:rPr>
      </w:pPr>
      <w:r w:rsidRPr="00466FC8">
        <w:rPr>
          <w:rFonts w:cstheme="minorHAnsi"/>
          <w:color w:val="222222"/>
        </w:rPr>
        <w:t>City of Houston, Downtown District, and METRO all as additional insured.</w:t>
      </w:r>
    </w:p>
    <w:p w14:paraId="19AB3406" w14:textId="77777777" w:rsidR="00466FC8" w:rsidRPr="00466FC8" w:rsidRDefault="00466FC8" w:rsidP="00466FC8">
      <w:pPr>
        <w:spacing w:line="240" w:lineRule="auto"/>
        <w:ind w:left="1440"/>
        <w:rPr>
          <w:rFonts w:cstheme="minorHAnsi"/>
          <w:color w:val="222222"/>
        </w:rPr>
      </w:pPr>
    </w:p>
    <w:p w14:paraId="57F7818D" w14:textId="77777777" w:rsidR="00466FC8" w:rsidRPr="00466FC8" w:rsidRDefault="00466FC8" w:rsidP="00466FC8">
      <w:pPr>
        <w:numPr>
          <w:ilvl w:val="0"/>
          <w:numId w:val="21"/>
        </w:numPr>
        <w:spacing w:line="240" w:lineRule="auto"/>
        <w:rPr>
          <w:rFonts w:cstheme="minorHAnsi"/>
          <w:color w:val="222222"/>
        </w:rPr>
      </w:pPr>
      <w:r w:rsidRPr="00466FC8">
        <w:rPr>
          <w:rFonts w:cstheme="minorHAnsi"/>
          <w:color w:val="222222"/>
        </w:rPr>
        <w:t xml:space="preserve">Applicant acknowledges that participation in the Main Street: More Spaces Program entails submitting the Insurance, Indemnification, and Release as stated in the Program Guidelines and Requirements </w:t>
      </w:r>
      <w:proofErr w:type="gramStart"/>
      <w:r w:rsidRPr="00466FC8">
        <w:rPr>
          <w:rFonts w:cstheme="minorHAnsi"/>
          <w:color w:val="222222"/>
        </w:rPr>
        <w:t>and also</w:t>
      </w:r>
      <w:proofErr w:type="gramEnd"/>
      <w:r w:rsidRPr="00466FC8">
        <w:rPr>
          <w:rFonts w:cstheme="minorHAnsi"/>
          <w:color w:val="222222"/>
        </w:rPr>
        <w:t xml:space="preserve"> attached to this application.</w:t>
      </w:r>
    </w:p>
    <w:p w14:paraId="4D31E0FA" w14:textId="77777777" w:rsidR="00466FC8" w:rsidRPr="00466FC8" w:rsidRDefault="00466FC8" w:rsidP="00466FC8">
      <w:pPr>
        <w:spacing w:line="240" w:lineRule="auto"/>
        <w:ind w:left="720"/>
        <w:rPr>
          <w:rFonts w:cstheme="minorHAnsi"/>
          <w:b/>
          <w:bCs/>
          <w:color w:val="222222"/>
        </w:rPr>
      </w:pPr>
      <w:r w:rsidRPr="00466FC8">
        <w:rPr>
          <w:rFonts w:cs="Calibri"/>
          <w:b/>
          <w:bCs/>
        </w:rPr>
        <w:t>Initial Here:</w:t>
      </w:r>
      <w:r w:rsidRPr="00466FC8">
        <w:rPr>
          <w:rFonts w:cs="Calibri"/>
          <w:b/>
          <w:bCs/>
          <w:u w:val="single"/>
        </w:rPr>
        <w:tab/>
      </w:r>
      <w:r w:rsidRPr="00466FC8">
        <w:rPr>
          <w:rFonts w:cs="Calibri"/>
          <w:b/>
          <w:bCs/>
          <w:u w:val="single"/>
        </w:rPr>
        <w:tab/>
      </w:r>
      <w:r w:rsidRPr="00466FC8">
        <w:rPr>
          <w:rFonts w:cs="Calibri"/>
          <w:b/>
          <w:bCs/>
          <w:u w:val="single"/>
        </w:rPr>
        <w:tab/>
      </w:r>
    </w:p>
    <w:p w14:paraId="0D90C019" w14:textId="77777777" w:rsidR="00466FC8" w:rsidRPr="00466FC8" w:rsidRDefault="00466FC8" w:rsidP="00466FC8">
      <w:pPr>
        <w:spacing w:line="240" w:lineRule="auto"/>
        <w:ind w:left="720"/>
        <w:rPr>
          <w:rFonts w:cstheme="minorHAnsi"/>
          <w:color w:val="222222"/>
        </w:rPr>
      </w:pPr>
    </w:p>
    <w:p w14:paraId="05263A6E" w14:textId="77777777" w:rsidR="00466FC8" w:rsidRPr="00466FC8" w:rsidRDefault="00466FC8" w:rsidP="00466FC8">
      <w:pPr>
        <w:numPr>
          <w:ilvl w:val="0"/>
          <w:numId w:val="21"/>
        </w:numPr>
        <w:spacing w:line="240" w:lineRule="auto"/>
        <w:rPr>
          <w:rFonts w:cstheme="minorHAnsi"/>
          <w:color w:val="222222"/>
        </w:rPr>
      </w:pPr>
      <w:r w:rsidRPr="00466FC8">
        <w:rPr>
          <w:rFonts w:cs="Calibri"/>
        </w:rPr>
        <w:t xml:space="preserve">Applicant acknowledges and certifies that the approved More Space Area may be reduced, modified, or terminated if a neighboring business applies for the use of their own frontage, or if it is determined that the public safety or public necessity and convenience requires same. </w:t>
      </w:r>
    </w:p>
    <w:p w14:paraId="269C3C0B" w14:textId="77777777" w:rsidR="00466FC8" w:rsidRPr="00466FC8" w:rsidRDefault="00466FC8" w:rsidP="00466FC8">
      <w:pPr>
        <w:spacing w:line="240" w:lineRule="auto"/>
        <w:ind w:left="720"/>
        <w:rPr>
          <w:rFonts w:cstheme="minorHAnsi"/>
          <w:b/>
          <w:bCs/>
          <w:color w:val="222222"/>
        </w:rPr>
      </w:pPr>
      <w:r w:rsidRPr="00466FC8">
        <w:rPr>
          <w:rFonts w:cs="Calibri"/>
          <w:b/>
          <w:bCs/>
        </w:rPr>
        <w:t>Initial Here:</w:t>
      </w:r>
      <w:r w:rsidRPr="00466FC8">
        <w:rPr>
          <w:rFonts w:cs="Calibri"/>
          <w:b/>
          <w:bCs/>
          <w:u w:val="single"/>
        </w:rPr>
        <w:tab/>
      </w:r>
      <w:r w:rsidRPr="00466FC8">
        <w:rPr>
          <w:rFonts w:cs="Calibri"/>
          <w:b/>
          <w:bCs/>
          <w:u w:val="single"/>
        </w:rPr>
        <w:tab/>
      </w:r>
      <w:r w:rsidRPr="00466FC8">
        <w:rPr>
          <w:rFonts w:cs="Calibri"/>
          <w:b/>
          <w:bCs/>
          <w:u w:val="single"/>
        </w:rPr>
        <w:tab/>
      </w:r>
    </w:p>
    <w:p w14:paraId="52B840AC" w14:textId="77777777" w:rsidR="00466FC8" w:rsidRPr="00375483" w:rsidRDefault="00466FC8" w:rsidP="00466FC8">
      <w:pPr>
        <w:spacing w:after="120" w:line="240" w:lineRule="auto"/>
        <w:jc w:val="center"/>
        <w:rPr>
          <w:rFonts w:cstheme="minorHAnsi"/>
          <w:color w:val="222222"/>
        </w:rPr>
      </w:pPr>
    </w:p>
    <w:p w14:paraId="0195D5B0" w14:textId="38068C1F" w:rsidR="00466FC8" w:rsidRDefault="00466FC8" w:rsidP="00466FC8">
      <w:pPr>
        <w:spacing w:after="120" w:line="240" w:lineRule="auto"/>
        <w:ind w:firstLine="360"/>
        <w:rPr>
          <w:rFonts w:cstheme="minorHAnsi"/>
          <w:b/>
          <w:bCs/>
          <w:color w:val="222222"/>
          <w:u w:val="single"/>
        </w:rPr>
      </w:pPr>
      <w:r w:rsidRPr="00375483">
        <w:rPr>
          <w:rFonts w:cstheme="minorHAnsi"/>
          <w:b/>
          <w:bCs/>
          <w:color w:val="222222"/>
        </w:rPr>
        <w:t>Applicant Signature</w:t>
      </w:r>
      <w:r w:rsidRPr="00375483">
        <w:rPr>
          <w:rFonts w:cstheme="minorHAnsi"/>
          <w:b/>
          <w:bCs/>
          <w:color w:val="222222"/>
          <w:u w:val="single"/>
        </w:rPr>
        <w:tab/>
      </w:r>
      <w:r w:rsidRPr="00375483">
        <w:rPr>
          <w:rFonts w:cstheme="minorHAnsi"/>
          <w:b/>
          <w:bCs/>
          <w:color w:val="222222"/>
          <w:u w:val="single"/>
        </w:rPr>
        <w:tab/>
      </w:r>
      <w:r w:rsidRPr="00375483">
        <w:rPr>
          <w:rFonts w:cstheme="minorHAnsi"/>
          <w:b/>
          <w:bCs/>
          <w:color w:val="222222"/>
          <w:u w:val="single"/>
        </w:rPr>
        <w:tab/>
      </w:r>
      <w:r w:rsidRPr="00375483">
        <w:rPr>
          <w:rFonts w:cstheme="minorHAnsi"/>
          <w:b/>
          <w:bCs/>
          <w:color w:val="222222"/>
          <w:u w:val="single"/>
        </w:rPr>
        <w:tab/>
      </w:r>
      <w:r w:rsidRPr="00375483">
        <w:rPr>
          <w:rFonts w:cstheme="minorHAnsi"/>
          <w:b/>
          <w:bCs/>
          <w:color w:val="222222"/>
          <w:u w:val="single"/>
        </w:rPr>
        <w:tab/>
      </w:r>
      <w:r w:rsidRPr="00375483">
        <w:rPr>
          <w:rFonts w:cstheme="minorHAnsi"/>
          <w:b/>
          <w:bCs/>
          <w:color w:val="222222"/>
          <w:u w:val="single"/>
        </w:rPr>
        <w:tab/>
      </w:r>
      <w:r w:rsidRPr="00375483">
        <w:rPr>
          <w:rFonts w:cstheme="minorHAnsi"/>
          <w:b/>
          <w:bCs/>
          <w:color w:val="222222"/>
          <w:u w:val="single"/>
        </w:rPr>
        <w:tab/>
      </w:r>
      <w:r w:rsidRPr="00375483">
        <w:rPr>
          <w:rFonts w:cstheme="minorHAnsi"/>
          <w:b/>
          <w:bCs/>
          <w:color w:val="222222"/>
          <w:u w:val="single"/>
        </w:rPr>
        <w:tab/>
      </w:r>
      <w:r w:rsidRPr="00375483">
        <w:rPr>
          <w:rFonts w:cstheme="minorHAnsi"/>
          <w:b/>
          <w:bCs/>
          <w:color w:val="222222"/>
        </w:rPr>
        <w:t>Date</w:t>
      </w:r>
      <w:r w:rsidRPr="00375483">
        <w:rPr>
          <w:rFonts w:cstheme="minorHAnsi"/>
          <w:b/>
          <w:bCs/>
          <w:color w:val="222222"/>
          <w:u w:val="single"/>
        </w:rPr>
        <w:tab/>
      </w:r>
      <w:r w:rsidRPr="00375483">
        <w:rPr>
          <w:rFonts w:cstheme="minorHAnsi"/>
          <w:b/>
          <w:bCs/>
          <w:color w:val="222222"/>
          <w:u w:val="single"/>
        </w:rPr>
        <w:tab/>
      </w:r>
      <w:r w:rsidRPr="00375483">
        <w:rPr>
          <w:rFonts w:cstheme="minorHAnsi"/>
          <w:b/>
          <w:bCs/>
          <w:color w:val="222222"/>
          <w:u w:val="single"/>
        </w:rPr>
        <w:tab/>
      </w:r>
    </w:p>
    <w:p w14:paraId="6E3A4A17" w14:textId="77777777" w:rsidR="00466FC8" w:rsidRPr="00375483" w:rsidRDefault="00466FC8" w:rsidP="00466FC8">
      <w:pPr>
        <w:spacing w:after="120" w:line="240" w:lineRule="auto"/>
        <w:ind w:firstLine="360"/>
        <w:rPr>
          <w:rFonts w:cstheme="minorHAnsi"/>
          <w:b/>
          <w:bCs/>
          <w:color w:val="222222"/>
          <w:u w:val="single"/>
        </w:rPr>
      </w:pPr>
    </w:p>
    <w:p w14:paraId="6C337430" w14:textId="77777777" w:rsidR="00466FC8" w:rsidRPr="00375483" w:rsidRDefault="00466FC8" w:rsidP="00466FC8">
      <w:pPr>
        <w:keepNext/>
        <w:keepLines/>
        <w:spacing w:line="240" w:lineRule="auto"/>
        <w:outlineLvl w:val="1"/>
        <w:rPr>
          <w:rFonts w:asciiTheme="majorHAnsi" w:eastAsiaTheme="majorEastAsia" w:hAnsiTheme="majorHAnsi" w:cstheme="majorBidi"/>
          <w:color w:val="365F91" w:themeColor="accent1" w:themeShade="BF"/>
          <w:sz w:val="26"/>
          <w:szCs w:val="26"/>
        </w:rPr>
      </w:pPr>
      <w:bookmarkStart w:id="1" w:name="_Toc56437638"/>
      <w:r w:rsidRPr="00375483">
        <w:rPr>
          <w:rFonts w:asciiTheme="majorHAnsi" w:eastAsiaTheme="majorEastAsia" w:hAnsiTheme="majorHAnsi" w:cstheme="majorBidi"/>
          <w:color w:val="365F91" w:themeColor="accent1" w:themeShade="BF"/>
          <w:sz w:val="26"/>
          <w:szCs w:val="26"/>
        </w:rPr>
        <w:t>Conditions and Exceptions</w:t>
      </w:r>
      <w:bookmarkEnd w:id="1"/>
    </w:p>
    <w:p w14:paraId="0CFD3892" w14:textId="77777777" w:rsidR="00466FC8" w:rsidRPr="00466FC8" w:rsidRDefault="00466FC8" w:rsidP="00466FC8">
      <w:pPr>
        <w:numPr>
          <w:ilvl w:val="0"/>
          <w:numId w:val="23"/>
        </w:numPr>
        <w:spacing w:line="240" w:lineRule="auto"/>
        <w:rPr>
          <w:rFonts w:cs="Calibri"/>
          <w:sz w:val="21"/>
          <w:szCs w:val="21"/>
        </w:rPr>
      </w:pPr>
      <w:r w:rsidRPr="00466FC8">
        <w:rPr>
          <w:rFonts w:cs="Calibri"/>
          <w:sz w:val="21"/>
          <w:szCs w:val="21"/>
        </w:rPr>
        <w:t>The permit issued pursuant to this application is issued in the licensee's name and cannot be assigned, sold, or otherwise transferred.</w:t>
      </w:r>
    </w:p>
    <w:p w14:paraId="6970040A" w14:textId="77777777" w:rsidR="00466FC8" w:rsidRPr="00466FC8" w:rsidRDefault="00466FC8" w:rsidP="00466FC8">
      <w:pPr>
        <w:numPr>
          <w:ilvl w:val="0"/>
          <w:numId w:val="23"/>
        </w:numPr>
        <w:spacing w:line="240" w:lineRule="auto"/>
        <w:rPr>
          <w:rFonts w:cs="Calibri"/>
          <w:sz w:val="21"/>
          <w:szCs w:val="21"/>
        </w:rPr>
      </w:pPr>
      <w:r w:rsidRPr="00466FC8">
        <w:rPr>
          <w:rFonts w:cs="Calibri"/>
          <w:sz w:val="21"/>
          <w:szCs w:val="21"/>
        </w:rPr>
        <w:t>All patrons, restaurant and bar management and owners, and employees must comply with all other applicable laws, regulations, permits, and orders of government officials, including the then-</w:t>
      </w:r>
      <w:r w:rsidRPr="00466FC8">
        <w:rPr>
          <w:rFonts w:cs="Calibri"/>
          <w:sz w:val="21"/>
          <w:szCs w:val="21"/>
        </w:rPr>
        <w:lastRenderedPageBreak/>
        <w:t>current COVID-19 related orders issued by the Mayor, County Judge with authority, or Governor of the State of Texas, including the Governor’s Executive Order Nos. GA-28, GA-29, and GA-32, issued by the Governor of the State of Texas and any amendments or successor orders or proclamations thereto, and any orders issued by the Harris County Judge authorizing bars to open in any capacity.  All persons utilizing the additional space of the More Space: Main Street Program shall operate in compliance with the Governor’s Order GA-28 including its provisions on the minimum standard health protocols recommended by Texas Department of State Health Services (DSHS): https://www.dshs.texas.gov/coronavirus/opentexas.aspx</w:t>
      </w:r>
    </w:p>
    <w:p w14:paraId="0957ED05" w14:textId="77777777" w:rsidR="00466FC8" w:rsidRPr="00466FC8" w:rsidRDefault="00466FC8" w:rsidP="00466FC8">
      <w:pPr>
        <w:numPr>
          <w:ilvl w:val="0"/>
          <w:numId w:val="23"/>
        </w:numPr>
        <w:spacing w:line="240" w:lineRule="auto"/>
        <w:rPr>
          <w:rFonts w:cs="Calibri"/>
          <w:sz w:val="21"/>
          <w:szCs w:val="21"/>
        </w:rPr>
      </w:pPr>
      <w:r w:rsidRPr="00466FC8">
        <w:rPr>
          <w:rFonts w:cs="Calibri"/>
          <w:sz w:val="21"/>
          <w:szCs w:val="21"/>
        </w:rPr>
        <w:t>Pursuant to the City of Houston Health Department rules, approval to participate in the More Space: Main Street program authorizes applicant to serve food and beverages includes food service only; food preparation, display and storage are not allowed in these areas.</w:t>
      </w:r>
    </w:p>
    <w:p w14:paraId="0D2C9630" w14:textId="77777777" w:rsidR="00466FC8" w:rsidRPr="00466FC8" w:rsidRDefault="00466FC8" w:rsidP="00466FC8">
      <w:pPr>
        <w:numPr>
          <w:ilvl w:val="0"/>
          <w:numId w:val="23"/>
        </w:numPr>
        <w:spacing w:line="240" w:lineRule="auto"/>
        <w:rPr>
          <w:rFonts w:cs="Calibri"/>
          <w:sz w:val="21"/>
          <w:szCs w:val="21"/>
        </w:rPr>
      </w:pPr>
      <w:r w:rsidRPr="00466FC8">
        <w:rPr>
          <w:rFonts w:cs="Calibri"/>
          <w:sz w:val="21"/>
          <w:szCs w:val="21"/>
        </w:rPr>
        <w:t xml:space="preserve">All participating restaurants, bars, and their owners, management, and staff, shall conclude food and beverage service and close all food and beverage service within the More Space Area at close of business. </w:t>
      </w:r>
    </w:p>
    <w:p w14:paraId="028A59DA" w14:textId="77777777" w:rsidR="00466FC8" w:rsidRPr="00466FC8" w:rsidRDefault="00466FC8" w:rsidP="00466FC8">
      <w:pPr>
        <w:numPr>
          <w:ilvl w:val="0"/>
          <w:numId w:val="23"/>
        </w:numPr>
        <w:spacing w:line="240" w:lineRule="auto"/>
        <w:rPr>
          <w:rFonts w:cs="Calibri"/>
          <w:sz w:val="21"/>
          <w:szCs w:val="21"/>
        </w:rPr>
      </w:pPr>
      <w:r w:rsidRPr="00466FC8">
        <w:rPr>
          <w:rFonts w:cs="Calibri"/>
          <w:sz w:val="21"/>
          <w:szCs w:val="21"/>
        </w:rPr>
        <w:t>Furniture may be utilized in the More Space as described in the More Space: Main Street Program Design Guide. No permanent structures are allowed. The restaurant or bar owner, management, and staff must secure or remove all furniture at the close of business.  The City is not liable for any loss of furniture or other business items.</w:t>
      </w:r>
    </w:p>
    <w:p w14:paraId="10A5AC55" w14:textId="77777777" w:rsidR="00466FC8" w:rsidRPr="00466FC8" w:rsidRDefault="00466FC8" w:rsidP="00466FC8">
      <w:pPr>
        <w:numPr>
          <w:ilvl w:val="0"/>
          <w:numId w:val="23"/>
        </w:numPr>
        <w:spacing w:line="240" w:lineRule="auto"/>
        <w:rPr>
          <w:rFonts w:cs="Calibri"/>
          <w:sz w:val="21"/>
          <w:szCs w:val="21"/>
        </w:rPr>
      </w:pPr>
      <w:r w:rsidRPr="00466FC8">
        <w:rPr>
          <w:rFonts w:cs="Calibri"/>
          <w:sz w:val="21"/>
          <w:szCs w:val="21"/>
        </w:rPr>
        <w:t>Restaurant owners and staff must place furniture only within the More Space Area and in a manner that does not obstruct a clear path of pedestrian travel along the Main Street sidewalk with the same clear space as provided prior to the application including customer queuing, and does not obstruct a clear access to public utilities, fire hydrants, and building entrances.</w:t>
      </w:r>
    </w:p>
    <w:p w14:paraId="3ED0EBD5" w14:textId="77777777" w:rsidR="00466FC8" w:rsidRPr="00466FC8" w:rsidRDefault="00466FC8" w:rsidP="00466FC8">
      <w:pPr>
        <w:numPr>
          <w:ilvl w:val="0"/>
          <w:numId w:val="23"/>
        </w:numPr>
        <w:spacing w:line="240" w:lineRule="auto"/>
        <w:rPr>
          <w:rFonts w:cs="Calibri"/>
          <w:sz w:val="21"/>
          <w:szCs w:val="21"/>
        </w:rPr>
      </w:pPr>
      <w:r w:rsidRPr="00466FC8">
        <w:rPr>
          <w:rFonts w:cs="Calibri"/>
          <w:sz w:val="21"/>
          <w:szCs w:val="21"/>
        </w:rPr>
        <w:t xml:space="preserve">Manholes and any other public infrastructure must be made accessible for maintenance or emergency repairs. This </w:t>
      </w:r>
      <w:proofErr w:type="gramStart"/>
      <w:r w:rsidRPr="00466FC8">
        <w:rPr>
          <w:rFonts w:cs="Calibri"/>
          <w:sz w:val="21"/>
          <w:szCs w:val="21"/>
        </w:rPr>
        <w:t>includes either clear access at all times</w:t>
      </w:r>
      <w:proofErr w:type="gramEnd"/>
      <w:r w:rsidRPr="00466FC8">
        <w:rPr>
          <w:rFonts w:cs="Calibri"/>
          <w:sz w:val="21"/>
          <w:szCs w:val="21"/>
        </w:rPr>
        <w:t xml:space="preserve"> or an immediately accessible hatch with signage.</w:t>
      </w:r>
    </w:p>
    <w:p w14:paraId="6FF428A3" w14:textId="77777777" w:rsidR="00466FC8" w:rsidRPr="00466FC8" w:rsidRDefault="00466FC8" w:rsidP="00466FC8">
      <w:pPr>
        <w:numPr>
          <w:ilvl w:val="0"/>
          <w:numId w:val="23"/>
        </w:numPr>
        <w:spacing w:line="240" w:lineRule="auto"/>
        <w:rPr>
          <w:rFonts w:cs="Calibri"/>
          <w:sz w:val="21"/>
          <w:szCs w:val="21"/>
        </w:rPr>
      </w:pPr>
      <w:r w:rsidRPr="00466FC8">
        <w:rPr>
          <w:rFonts w:cs="Calibri"/>
          <w:sz w:val="21"/>
          <w:szCs w:val="21"/>
        </w:rPr>
        <w:t xml:space="preserve">The More Space: Main Street Program may be activated, suspended, or terminated in whole or in part at the discretion of the Mayor of the City of Houston or the Mayor’s designee. </w:t>
      </w:r>
    </w:p>
    <w:p w14:paraId="04C7E264" w14:textId="77777777" w:rsidR="00466FC8" w:rsidRPr="00466FC8" w:rsidRDefault="00466FC8" w:rsidP="00466FC8">
      <w:pPr>
        <w:numPr>
          <w:ilvl w:val="0"/>
          <w:numId w:val="23"/>
        </w:numPr>
        <w:spacing w:line="240" w:lineRule="auto"/>
        <w:rPr>
          <w:rFonts w:cs="Calibri"/>
          <w:sz w:val="21"/>
          <w:szCs w:val="21"/>
        </w:rPr>
      </w:pPr>
      <w:r w:rsidRPr="00466FC8">
        <w:rPr>
          <w:rFonts w:cs="Calibri"/>
          <w:sz w:val="21"/>
          <w:szCs w:val="21"/>
        </w:rPr>
        <w:t xml:space="preserve">The City of Houston may terminate the participation of any restaurant or bar upon its failure to comply with the requirements of the More Space: Main Street Program, or receipt of proof of the suspension or revocation of the restaurant’s or bar’s TABC permit or license. The City of Houston may also terminate participation upon receipt of proof that the restaurant owner, operator, manager, or other person in charge of the restaurant has received a civil penalty in a civil adjudication proceeding, or proof of a criminal conviction of a violation of any statutes, ordinances, regulations, orders relating to the operation of the restaurant, including provisions related to the service or preparation of foods and beverages, or regulations enacted to control the spread of COVID-19. </w:t>
      </w:r>
    </w:p>
    <w:p w14:paraId="0344BC78" w14:textId="77777777" w:rsidR="00466FC8" w:rsidRPr="00466FC8" w:rsidRDefault="00466FC8" w:rsidP="00466FC8">
      <w:pPr>
        <w:numPr>
          <w:ilvl w:val="0"/>
          <w:numId w:val="23"/>
        </w:numPr>
        <w:spacing w:line="240" w:lineRule="auto"/>
        <w:rPr>
          <w:rFonts w:cs="Calibri"/>
          <w:sz w:val="21"/>
          <w:szCs w:val="21"/>
        </w:rPr>
      </w:pPr>
      <w:r w:rsidRPr="00466FC8">
        <w:rPr>
          <w:rFonts w:cs="Calibri"/>
          <w:sz w:val="21"/>
          <w:szCs w:val="21"/>
        </w:rPr>
        <w:t xml:space="preserve">The More Space: Main Street Program does not provide an applicant with an expectation of continued or permanent use of the More Space Area.  The Program may be </w:t>
      </w:r>
      <w:proofErr w:type="gramStart"/>
      <w:r w:rsidRPr="00466FC8">
        <w:rPr>
          <w:rFonts w:cs="Calibri"/>
          <w:sz w:val="21"/>
          <w:szCs w:val="21"/>
        </w:rPr>
        <w:t>terminated</w:t>
      </w:r>
      <w:proofErr w:type="gramEnd"/>
      <w:r w:rsidRPr="00466FC8">
        <w:rPr>
          <w:rFonts w:cs="Calibri"/>
          <w:sz w:val="21"/>
          <w:szCs w:val="21"/>
        </w:rPr>
        <w:t xml:space="preserve"> and any permit may be revoked at any time if the Mayor or his designee determines that the public safety or public necessity and convenience require it.</w:t>
      </w:r>
    </w:p>
    <w:p w14:paraId="7EFF0C86" w14:textId="77777777" w:rsidR="00466FC8" w:rsidRPr="00466FC8" w:rsidRDefault="00466FC8" w:rsidP="00466FC8">
      <w:pPr>
        <w:numPr>
          <w:ilvl w:val="0"/>
          <w:numId w:val="23"/>
        </w:numPr>
        <w:spacing w:line="240" w:lineRule="auto"/>
        <w:rPr>
          <w:rFonts w:cs="Calibri"/>
          <w:sz w:val="21"/>
          <w:szCs w:val="21"/>
        </w:rPr>
      </w:pPr>
      <w:r w:rsidRPr="00466FC8">
        <w:rPr>
          <w:rFonts w:cs="Calibri"/>
          <w:sz w:val="21"/>
          <w:szCs w:val="21"/>
        </w:rPr>
        <w:t>Applicants must adhere to all federal, state and local regulatory requirements, including all Insurance, Indemnification and Release by Participant conditions in the More Space: Main Street Program Design Guide.</w:t>
      </w:r>
    </w:p>
    <w:p w14:paraId="19907515" w14:textId="77777777" w:rsidR="00466FC8" w:rsidRPr="00375483" w:rsidRDefault="00466FC8" w:rsidP="00466FC8">
      <w:pPr>
        <w:keepNext/>
        <w:keepLines/>
        <w:spacing w:before="40"/>
        <w:outlineLvl w:val="1"/>
        <w:rPr>
          <w:rFonts w:asciiTheme="majorHAnsi" w:eastAsiaTheme="majorEastAsia" w:hAnsiTheme="majorHAnsi" w:cstheme="majorBidi"/>
          <w:b/>
          <w:bCs/>
          <w:color w:val="365F91" w:themeColor="accent1" w:themeShade="BF"/>
          <w:sz w:val="26"/>
          <w:szCs w:val="26"/>
        </w:rPr>
      </w:pPr>
      <w:bookmarkStart w:id="2" w:name="_Toc56437639"/>
      <w:r w:rsidRPr="00375483">
        <w:rPr>
          <w:rFonts w:asciiTheme="majorHAnsi" w:eastAsiaTheme="majorEastAsia" w:hAnsiTheme="majorHAnsi" w:cstheme="majorBidi"/>
          <w:b/>
          <w:bCs/>
          <w:color w:val="365F91" w:themeColor="accent1" w:themeShade="BF"/>
          <w:sz w:val="26"/>
          <w:szCs w:val="26"/>
        </w:rPr>
        <w:t>INDEMNIFICATION AND RELEASE BY PARTICIPANT</w:t>
      </w:r>
      <w:bookmarkEnd w:id="2"/>
    </w:p>
    <w:p w14:paraId="55E86F88" w14:textId="52720151" w:rsidR="00466FC8" w:rsidRPr="00375483" w:rsidRDefault="00466FC8" w:rsidP="00466FC8">
      <w:pPr>
        <w:jc w:val="both"/>
      </w:pPr>
      <w:r w:rsidRPr="00375483">
        <w:t>PARTICIPANT SHALL INDEMNIFY AND HOLD HARMLESS THE CITY OF HOUSTON, DOWNTOWN MANAGEMENT DISTRICT, METRO, AND EACH OF THEIR RESPECTIVE BOARDS, DIRECTORS, PARTNERS, OFFICERS, CONSULTANTS, EMPLOYEES AND AGENTS (COLLECTIVELY, THE “</w:t>
      </w:r>
      <w:r w:rsidRPr="00375483">
        <w:rPr>
          <w:u w:val="single"/>
        </w:rPr>
        <w:t>INDEMNITEES</w:t>
      </w:r>
      <w:r w:rsidRPr="00375483">
        <w:t>”), FROM AND AGAINST ANY AND ALL CLAIMS, DEMANDS, SUITS, CAUSES OF ACTION, SETTLEMENTS, LIABILITIES, COSTS, EXPENSES, FINES, AND JUDGMENTS (INCLUDING, WITHOUT LIMITATION, REASONABLE AND NECESSARY COURT COSTS, EXPERTS’ FEES AND ATTORNEYS’ FEES) (COLLECTIVELY, “</w:t>
      </w:r>
      <w:r w:rsidRPr="00375483">
        <w:rPr>
          <w:u w:val="single"/>
        </w:rPr>
        <w:t>LOSSES</w:t>
      </w:r>
      <w:r w:rsidRPr="00375483">
        <w:t xml:space="preserve">”), WHETHER ARISING IN EQUITY, AT COMMON LAW, OR BY STATUTE, INCLUDING WITHOUT LIMITATION THE TEXAS DECEPTIVE TRADE PRACTICES ACT (AS AMENDED) OR SIMILAR STATUTE OF OTHER JURISDICTIONS, OR UNDER THE LAW OF CONTRACTS, TORTS (INCLUDING, WITHOUT LIMITATION, </w:t>
      </w:r>
      <w:r w:rsidRPr="00375483">
        <w:lastRenderedPageBreak/>
        <w:t>NEGLIGENCE AND STRICT LIABILITY WITHOUT REGARD TO FAULT) OR PROPERTY, OF EVERY KIND OR CHARACTER (INCLUDING, WITHOUT LIMITATION, CLAIMS FOR PROPERTY DAMAGE, PERSONAL INJURY (INCLUDING WITHOUT LIMITATION EMOTIONAL DISTRESS, AND ECONOMIC LOSS), ARISING IN FAVOR OF OR BROUGHT BY ANY OF PARTICIPANT, ITS EMPLOYEES, AGENTS, SUBCONTRACTORS, SUPPLIERS OR REPRESENTATIVES, OR BY ANY GOVERNMENTAL AGENCY OR ANY OTHER THIRD PARTY, BASED UPON, IN CONNECTION WITH, RELATING TO OR ARISING OUT OF THE PARTICIPANT’S BUSINESS OR PROPOSED BUSINESS, OR PARTICIPANT’S ACTIONS OR INACTIONS UNDER THIS AGREEMENT, INCLUDING WITHOUT LIMITATION ANY FAILURE BY PARTICIPANT TO PAY TAXES OR FAILURE TO COMPLY WITH ANY APPLICABLE LAW, EXCEPT TO THE EXTENT ANY SUCH LOSSES ARE DUE TO ANY INDEMNITEES’ SOLE NEGLIGENCE OR OTHER FAULT, BREACH OF THIS AGREEMENT, VIOLATION OF STATUTE, OR STRICT LIABILITY WITHOUT REGARD TO FAULT.</w:t>
      </w:r>
    </w:p>
    <w:p w14:paraId="510BAA7E" w14:textId="5887131B" w:rsidR="00466FC8" w:rsidRPr="00375483" w:rsidRDefault="00466FC8" w:rsidP="00466FC8">
      <w:pPr>
        <w:jc w:val="both"/>
      </w:pPr>
      <w:r w:rsidRPr="00375483">
        <w:t>THE FOREGOING INDEMNIFICATION OBLIGATION SHALL APPLY REGARDLESS OF THE AMOUNT OF INSURANCE COVERAGE HELD BY PARTICIPANT INCLUDING WITHOUT LIMITATION ANY SUCH COVERAGE UNDER ANY WORKER’S COMPENSATION ACT, DISABILITY ACT, OR OTHER ACT OR LAW WHICH WOULD LIMIT THE AMOUNT OR TYPE OF DAMAGES, COMPENSATION, OR BENEFITS PAYABLE BY OR FOR PARTICIPANT AND SHALL NOT BE LIMITED BY ANY INSURANCE CARRIED OR PROVIDED BY PARTICIPANT IN ACCORDANCE WITH THIS AGREEMENT.</w:t>
      </w:r>
    </w:p>
    <w:p w14:paraId="479887CD" w14:textId="47C49A8F" w:rsidR="00466FC8" w:rsidRPr="00375483" w:rsidRDefault="00466FC8" w:rsidP="00466FC8">
      <w:pPr>
        <w:jc w:val="both"/>
      </w:pPr>
      <w:r w:rsidRPr="00375483">
        <w:t>PARTICIPANT’S CONTRACTUAL OBLIGATIONS OF INDEMNIFICATION SHALL EXTEND TO AND COVER CLAIMS, DEMANDS AND CAUSES OF ACTION ALLEGING CONCURRENT ACTS OF NEGLIGENCE, FAULT OR OTHER ACT OR OMISSION BY OR ON THE PART OF THE INDEMNITEES PROVIDED THAT IN THE EVENT THAT BOTH PARTICIPANT AND SUCH INDEMNITEE ARE ADJUDICATED AT FAULT WITH RESPECT TO DAMAGE OR INJURY SUSTAINED BY A CLAIMANT, PARTICIPANT SHALL INDEMNIFY INDEMNITEES ONLY FOR THAT PORTION OF THE DAMAGE OR INJURY ADJUDICATED TO HAVE BEEN CAUSED BY PARTICIPANT, AND ACCORDINGLY, THE INDEMNITEES SHALL BEAR ALL COSTS AND DAMAGES FOR WHICH EACH OR ANY IS FOUND LEGALLY LIABLE.  PARTICIPANT SHALL NOT INDEMNIFY THE INDEMNITEES FOR THEIR SOLE NEGLIGENCE.</w:t>
      </w:r>
    </w:p>
    <w:p w14:paraId="419EB01E" w14:textId="77777777" w:rsidR="00466FC8" w:rsidRPr="00375483" w:rsidRDefault="00466FC8" w:rsidP="00466FC8">
      <w:pPr>
        <w:keepNext/>
        <w:keepLines/>
        <w:spacing w:before="40"/>
        <w:outlineLvl w:val="2"/>
        <w:rPr>
          <w:rFonts w:asciiTheme="majorHAnsi" w:eastAsiaTheme="majorEastAsia" w:hAnsiTheme="majorHAnsi" w:cstheme="majorBidi"/>
          <w:b/>
          <w:bCs/>
          <w:color w:val="243F60" w:themeColor="accent1" w:themeShade="7F"/>
          <w:sz w:val="24"/>
          <w:szCs w:val="24"/>
        </w:rPr>
      </w:pPr>
      <w:bookmarkStart w:id="3" w:name="_Toc56437640"/>
      <w:r w:rsidRPr="00375483">
        <w:rPr>
          <w:rFonts w:asciiTheme="majorHAnsi" w:eastAsiaTheme="majorEastAsia" w:hAnsiTheme="majorHAnsi" w:cstheme="majorBidi"/>
          <w:b/>
          <w:bCs/>
          <w:color w:val="243F60" w:themeColor="accent1" w:themeShade="7F"/>
          <w:sz w:val="24"/>
          <w:szCs w:val="24"/>
        </w:rPr>
        <w:t>Release</w:t>
      </w:r>
      <w:bookmarkEnd w:id="3"/>
    </w:p>
    <w:p w14:paraId="7FD75745" w14:textId="51C9200B" w:rsidR="00466FC8" w:rsidRPr="00375483" w:rsidRDefault="00466FC8" w:rsidP="00466FC8">
      <w:pPr>
        <w:jc w:val="both"/>
      </w:pPr>
      <w:r w:rsidRPr="00375483">
        <w:t>Participant shall and does hereby waive all causes of action it has for, and releases and forever discharges the indemnitees from, losses for injuries (including death) to any person or damage to or destruction of any property sustained or alleged to have been sustained in connection with or arising out of or incidental to the Main Street: More Space Program.</w:t>
      </w:r>
    </w:p>
    <w:p w14:paraId="7540D7CD" w14:textId="7D5896B1" w:rsidR="00466FC8" w:rsidRDefault="00466FC8" w:rsidP="00466FC8">
      <w:pPr>
        <w:spacing w:after="120" w:line="240" w:lineRule="auto"/>
      </w:pPr>
    </w:p>
    <w:p w14:paraId="515E0896" w14:textId="1D3093A7" w:rsidR="00466FC8" w:rsidRDefault="00466FC8" w:rsidP="00F73D8D">
      <w:pPr>
        <w:spacing w:after="120" w:line="240" w:lineRule="auto"/>
        <w:rPr>
          <w:rFonts w:cstheme="minorHAnsi"/>
          <w:b/>
          <w:bCs/>
          <w:color w:val="222222"/>
          <w:u w:val="single"/>
        </w:rPr>
      </w:pPr>
      <w:r w:rsidRPr="00375483">
        <w:rPr>
          <w:rFonts w:cstheme="minorHAnsi"/>
          <w:b/>
          <w:bCs/>
          <w:color w:val="222222"/>
        </w:rPr>
        <w:t>Applicant Signature(s)</w:t>
      </w:r>
      <w:r w:rsidRPr="00375483">
        <w:rPr>
          <w:rFonts w:cstheme="minorHAnsi"/>
          <w:b/>
          <w:bCs/>
          <w:color w:val="222222"/>
          <w:u w:val="single"/>
        </w:rPr>
        <w:tab/>
      </w:r>
      <w:r w:rsidRPr="00375483">
        <w:rPr>
          <w:rFonts w:cstheme="minorHAnsi"/>
          <w:b/>
          <w:bCs/>
          <w:color w:val="222222"/>
          <w:u w:val="single"/>
        </w:rPr>
        <w:tab/>
      </w:r>
      <w:r w:rsidRPr="00375483">
        <w:rPr>
          <w:rFonts w:cstheme="minorHAnsi"/>
          <w:b/>
          <w:bCs/>
          <w:color w:val="222222"/>
          <w:u w:val="single"/>
        </w:rPr>
        <w:tab/>
      </w:r>
      <w:r w:rsidRPr="00375483">
        <w:rPr>
          <w:rFonts w:cstheme="minorHAnsi"/>
          <w:b/>
          <w:bCs/>
          <w:color w:val="222222"/>
          <w:u w:val="single"/>
        </w:rPr>
        <w:tab/>
      </w:r>
      <w:r w:rsidRPr="00375483">
        <w:rPr>
          <w:rFonts w:cstheme="minorHAnsi"/>
          <w:b/>
          <w:bCs/>
          <w:color w:val="222222"/>
          <w:u w:val="single"/>
        </w:rPr>
        <w:tab/>
      </w:r>
      <w:r w:rsidRPr="00375483">
        <w:rPr>
          <w:rFonts w:cstheme="minorHAnsi"/>
          <w:b/>
          <w:bCs/>
          <w:color w:val="222222"/>
          <w:u w:val="single"/>
        </w:rPr>
        <w:tab/>
      </w:r>
      <w:r w:rsidRPr="00375483">
        <w:rPr>
          <w:rFonts w:cstheme="minorHAnsi"/>
          <w:b/>
          <w:bCs/>
          <w:color w:val="222222"/>
          <w:u w:val="single"/>
        </w:rPr>
        <w:tab/>
      </w:r>
      <w:r w:rsidRPr="00375483">
        <w:rPr>
          <w:rFonts w:cstheme="minorHAnsi"/>
          <w:b/>
          <w:bCs/>
          <w:color w:val="222222"/>
          <w:u w:val="single"/>
        </w:rPr>
        <w:tab/>
      </w:r>
      <w:r w:rsidRPr="00375483">
        <w:rPr>
          <w:rFonts w:cstheme="minorHAnsi"/>
          <w:b/>
          <w:bCs/>
          <w:color w:val="222222"/>
        </w:rPr>
        <w:t>Date</w:t>
      </w:r>
      <w:r w:rsidRPr="00375483">
        <w:rPr>
          <w:rFonts w:cstheme="minorHAnsi"/>
          <w:b/>
          <w:bCs/>
          <w:color w:val="222222"/>
          <w:u w:val="single"/>
        </w:rPr>
        <w:tab/>
      </w:r>
      <w:r w:rsidRPr="00375483">
        <w:rPr>
          <w:rFonts w:cstheme="minorHAnsi"/>
          <w:b/>
          <w:bCs/>
          <w:color w:val="222222"/>
          <w:u w:val="single"/>
        </w:rPr>
        <w:tab/>
      </w:r>
      <w:r w:rsidRPr="00375483">
        <w:rPr>
          <w:rFonts w:cstheme="minorHAnsi"/>
          <w:b/>
          <w:bCs/>
          <w:color w:val="222222"/>
          <w:u w:val="single"/>
        </w:rPr>
        <w:tab/>
      </w:r>
    </w:p>
    <w:p w14:paraId="6B9D3EE3" w14:textId="77777777" w:rsidR="00F73D8D" w:rsidRPr="00F73D8D" w:rsidRDefault="00F73D8D" w:rsidP="00F73D8D">
      <w:pPr>
        <w:spacing w:after="120" w:line="240" w:lineRule="auto"/>
        <w:rPr>
          <w:rFonts w:cstheme="minorHAnsi"/>
          <w:b/>
          <w:bCs/>
          <w:color w:val="222222"/>
          <w:u w:val="single"/>
        </w:rPr>
      </w:pPr>
    </w:p>
    <w:p w14:paraId="1F7C4420" w14:textId="1720B35A" w:rsidR="00466FC8" w:rsidRPr="00375483" w:rsidRDefault="00466FC8" w:rsidP="00466FC8">
      <w:pPr>
        <w:autoSpaceDE w:val="0"/>
        <w:autoSpaceDN w:val="0"/>
        <w:adjustRightInd w:val="0"/>
        <w:snapToGrid w:val="0"/>
        <w:spacing w:before="277" w:line="239" w:lineRule="auto"/>
        <w:ind w:left="29"/>
        <w:rPr>
          <w:rFonts w:eastAsia="Times New Roman" w:cstheme="minorHAnsi"/>
          <w:b/>
          <w:bCs/>
          <w:color w:val="000000"/>
        </w:rPr>
      </w:pPr>
      <w:r w:rsidRPr="00375483">
        <w:rPr>
          <w:rFonts w:eastAsia="Times New Roman" w:cstheme="minorHAnsi"/>
          <w:b/>
          <w:bCs/>
          <w:color w:val="000000"/>
        </w:rPr>
        <w:t>State of Texas</w:t>
      </w:r>
    </w:p>
    <w:p w14:paraId="7D4E4D19" w14:textId="3F52F2F5" w:rsidR="00466FC8" w:rsidRPr="00375483" w:rsidRDefault="00466FC8" w:rsidP="00466FC8">
      <w:pPr>
        <w:autoSpaceDE w:val="0"/>
        <w:autoSpaceDN w:val="0"/>
        <w:adjustRightInd w:val="0"/>
        <w:snapToGrid w:val="0"/>
        <w:spacing w:line="239" w:lineRule="auto"/>
        <w:ind w:left="29"/>
        <w:rPr>
          <w:rFonts w:eastAsia="Times New Roman" w:cstheme="minorHAnsi"/>
          <w:b/>
          <w:bCs/>
          <w:color w:val="000000"/>
        </w:rPr>
      </w:pPr>
      <w:r w:rsidRPr="00375483">
        <w:rPr>
          <w:rFonts w:eastAsia="Times New Roman" w:cstheme="minorHAnsi"/>
          <w:b/>
          <w:bCs/>
          <w:color w:val="000000"/>
        </w:rPr>
        <w:t>County</w:t>
      </w:r>
      <w:r w:rsidRPr="00375483">
        <w:rPr>
          <w:rFonts w:eastAsia="Times New Roman" w:cstheme="minorHAnsi"/>
          <w:b/>
          <w:bCs/>
          <w:color w:val="000000"/>
          <w:spacing w:val="-7"/>
        </w:rPr>
        <w:t xml:space="preserve"> </w:t>
      </w:r>
      <w:r w:rsidRPr="00375483">
        <w:rPr>
          <w:rFonts w:eastAsia="Times New Roman" w:cstheme="minorHAnsi"/>
          <w:b/>
          <w:bCs/>
          <w:color w:val="000000"/>
        </w:rPr>
        <w:t>of_________________</w:t>
      </w:r>
    </w:p>
    <w:p w14:paraId="3FF0B13E" w14:textId="5DB53825" w:rsidR="00466FC8" w:rsidRPr="00375483" w:rsidRDefault="00466FC8" w:rsidP="00466FC8">
      <w:pPr>
        <w:autoSpaceDE w:val="0"/>
        <w:autoSpaceDN w:val="0"/>
        <w:adjustRightInd w:val="0"/>
        <w:snapToGrid w:val="0"/>
        <w:spacing w:before="281" w:line="240" w:lineRule="auto"/>
        <w:ind w:left="29" w:right="1"/>
        <w:rPr>
          <w:rFonts w:eastAsia="Times New Roman" w:cstheme="minorHAnsi"/>
          <w:color w:val="000000"/>
        </w:rPr>
      </w:pPr>
      <w:r w:rsidRPr="00375483">
        <w:rPr>
          <w:rFonts w:eastAsia="Times New Roman" w:cstheme="minorHAnsi"/>
          <w:color w:val="000000"/>
        </w:rPr>
        <w:t>This instrument was acknowledged before me on the ___ day of ____________, 20___ by (name)___________________, (title) ___________________, for</w:t>
      </w:r>
      <w:r w:rsidRPr="00375483">
        <w:rPr>
          <w:rFonts w:eastAsia="Times New Roman" w:cstheme="minorHAnsi"/>
          <w:color w:val="000000"/>
          <w:spacing w:val="63"/>
        </w:rPr>
        <w:t xml:space="preserve"> </w:t>
      </w:r>
      <w:r w:rsidRPr="00375483">
        <w:rPr>
          <w:rFonts w:eastAsia="Times New Roman" w:cstheme="minorHAnsi"/>
          <w:color w:val="000000"/>
        </w:rPr>
        <w:t>(corporation, partnership, LLC)_________________________,</w:t>
      </w:r>
      <w:r w:rsidRPr="00375483">
        <w:rPr>
          <w:rFonts w:eastAsia="Times New Roman" w:cstheme="minorHAnsi"/>
          <w:color w:val="000000"/>
          <w:spacing w:val="63"/>
        </w:rPr>
        <w:t xml:space="preserve"> </w:t>
      </w:r>
      <w:r w:rsidRPr="00375483">
        <w:rPr>
          <w:rFonts w:eastAsia="Times New Roman" w:cstheme="minorHAnsi"/>
          <w:color w:val="000000"/>
        </w:rPr>
        <w:t>a (State of incorporation) ________________, on behalf of said _______________.</w:t>
      </w:r>
    </w:p>
    <w:p w14:paraId="0FCC666D" w14:textId="0C37BDBC" w:rsidR="00466FC8" w:rsidRPr="00375483" w:rsidRDefault="00F73D8D" w:rsidP="00466FC8">
      <w:pPr>
        <w:autoSpaceDE w:val="0"/>
        <w:autoSpaceDN w:val="0"/>
        <w:adjustRightInd w:val="0"/>
        <w:snapToGrid w:val="0"/>
        <w:spacing w:before="561" w:line="240" w:lineRule="auto"/>
        <w:ind w:left="29"/>
        <w:rPr>
          <w:rFonts w:eastAsia="Times New Roman" w:cstheme="minorHAnsi"/>
          <w:color w:val="000000"/>
          <w:spacing w:val="3682"/>
        </w:rPr>
      </w:pPr>
      <w:r>
        <w:rPr>
          <w:rFonts w:eastAsia="Times New Roman" w:cstheme="minorHAnsi"/>
          <w:noProof/>
          <w:color w:val="000000"/>
        </w:rPr>
        <w:drawing>
          <wp:anchor distT="0" distB="0" distL="114300" distR="114300" simplePos="0" relativeHeight="251661824" behindDoc="0" locked="0" layoutInCell="1" allowOverlap="1" wp14:anchorId="7BF49A2C" wp14:editId="02201DBF">
            <wp:simplePos x="0" y="0"/>
            <wp:positionH relativeFrom="column">
              <wp:posOffset>19050</wp:posOffset>
            </wp:positionH>
            <wp:positionV relativeFrom="paragraph">
              <wp:posOffset>168275</wp:posOffset>
            </wp:positionV>
            <wp:extent cx="730250" cy="722630"/>
            <wp:effectExtent l="0" t="0" r="0" b="1270"/>
            <wp:wrapThrough wrapText="bothSides">
              <wp:wrapPolygon edited="0">
                <wp:start x="0" y="0"/>
                <wp:lineTo x="0" y="21069"/>
                <wp:lineTo x="20849" y="21069"/>
                <wp:lineTo x="208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25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FC8" w:rsidRPr="00375483">
        <w:rPr>
          <w:rFonts w:eastAsia="Times New Roman" w:cstheme="minorHAnsi"/>
          <w:color w:val="000000"/>
          <w:spacing w:val="3682"/>
        </w:rPr>
        <w:tab/>
      </w:r>
      <w:r w:rsidR="00466FC8" w:rsidRPr="00375483">
        <w:rPr>
          <w:rFonts w:eastAsia="Times New Roman" w:cstheme="minorHAnsi"/>
          <w:color w:val="000000"/>
          <w:spacing w:val="3682"/>
        </w:rPr>
        <w:tab/>
      </w:r>
    </w:p>
    <w:p w14:paraId="2F822157" w14:textId="77777777" w:rsidR="00466FC8" w:rsidRPr="00375483" w:rsidRDefault="00466FC8" w:rsidP="00466FC8">
      <w:pPr>
        <w:autoSpaceDE w:val="0"/>
        <w:autoSpaceDN w:val="0"/>
        <w:adjustRightInd w:val="0"/>
        <w:snapToGrid w:val="0"/>
        <w:spacing w:line="240" w:lineRule="auto"/>
        <w:ind w:left="4320" w:firstLine="720"/>
        <w:rPr>
          <w:rFonts w:eastAsia="Times New Roman" w:cstheme="minorHAnsi"/>
          <w:color w:val="000000"/>
        </w:rPr>
      </w:pPr>
      <w:r w:rsidRPr="00375483">
        <w:rPr>
          <w:rFonts w:eastAsia="Times New Roman" w:cstheme="minorHAnsi"/>
          <w:color w:val="000000"/>
        </w:rPr>
        <w:t>Notary Public's</w:t>
      </w:r>
      <w:r w:rsidRPr="00375483">
        <w:rPr>
          <w:rFonts w:eastAsia="Times New Roman" w:cstheme="minorHAnsi"/>
          <w:color w:val="000000"/>
          <w:spacing w:val="-7"/>
        </w:rPr>
        <w:t xml:space="preserve"> </w:t>
      </w:r>
      <w:r w:rsidRPr="00375483">
        <w:rPr>
          <w:rFonts w:eastAsia="Times New Roman" w:cstheme="minorHAnsi"/>
          <w:color w:val="000000"/>
        </w:rPr>
        <w:t>Signature</w:t>
      </w:r>
    </w:p>
    <w:p w14:paraId="2E45D3DC" w14:textId="77777777" w:rsidR="00466FC8" w:rsidRPr="00375483" w:rsidRDefault="00466FC8" w:rsidP="00466FC8">
      <w:pPr>
        <w:autoSpaceDE w:val="0"/>
        <w:autoSpaceDN w:val="0"/>
        <w:adjustRightInd w:val="0"/>
        <w:snapToGrid w:val="0"/>
        <w:spacing w:line="240" w:lineRule="auto"/>
        <w:ind w:left="4320" w:firstLine="720"/>
        <w:rPr>
          <w:rFonts w:eastAsia="Times New Roman" w:cstheme="minorHAnsi"/>
          <w:color w:val="000000"/>
        </w:rPr>
      </w:pPr>
      <w:r w:rsidRPr="00375483">
        <w:rPr>
          <w:rFonts w:eastAsia="Times New Roman" w:cstheme="minorHAnsi"/>
          <w:color w:val="000000"/>
        </w:rPr>
        <w:t>My Commission Expires: ____________</w:t>
      </w:r>
    </w:p>
    <w:p w14:paraId="7E95505B" w14:textId="4E29EE76" w:rsidR="001F1164" w:rsidRPr="00C17E81" w:rsidRDefault="001F1164" w:rsidP="00C17E81">
      <w:pPr>
        <w:tabs>
          <w:tab w:val="left" w:pos="3330"/>
        </w:tabs>
        <w:ind w:left="90"/>
        <w:rPr>
          <w:rFonts w:asciiTheme="minorHAnsi" w:hAnsiTheme="minorHAnsi" w:cstheme="minorHAnsi"/>
          <w:i w:val="0"/>
        </w:rPr>
      </w:pPr>
    </w:p>
    <w:sectPr w:rsidR="001F1164" w:rsidRPr="00C17E81" w:rsidSect="004B1A93">
      <w:headerReference w:type="default" r:id="rId10"/>
      <w:footerReference w:type="default" r:id="rId11"/>
      <w:headerReference w:type="first" r:id="rId12"/>
      <w:pgSz w:w="12240" w:h="15840"/>
      <w:pgMar w:top="997" w:right="1080" w:bottom="720" w:left="108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B8D15" w14:textId="77777777" w:rsidR="000D13BF" w:rsidRDefault="000D13BF" w:rsidP="00EA21B2">
      <w:r>
        <w:separator/>
      </w:r>
    </w:p>
  </w:endnote>
  <w:endnote w:type="continuationSeparator" w:id="0">
    <w:p w14:paraId="6721444D" w14:textId="77777777" w:rsidR="000D13BF" w:rsidRDefault="000D13BF" w:rsidP="00EA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44E2" w14:textId="1DD2B8C1" w:rsidR="004B1A93" w:rsidRPr="004B1A93" w:rsidRDefault="00466FC8" w:rsidP="004B1A93">
    <w:pPr>
      <w:pStyle w:val="Footer"/>
      <w:pBdr>
        <w:top w:val="single" w:sz="2" w:space="1" w:color="auto"/>
      </w:pBdr>
      <w:tabs>
        <w:tab w:val="clear" w:pos="4680"/>
        <w:tab w:val="clear" w:pos="9360"/>
        <w:tab w:val="right" w:pos="10080"/>
      </w:tabs>
      <w:rPr>
        <w:rFonts w:asciiTheme="minorHAnsi" w:hAnsiTheme="minorHAnsi" w:cstheme="minorHAnsi"/>
        <w:bCs/>
        <w:i w:val="0"/>
        <w:noProof/>
        <w:sz w:val="18"/>
        <w:szCs w:val="18"/>
      </w:rPr>
    </w:pPr>
    <w:r>
      <w:rPr>
        <w:rFonts w:asciiTheme="minorHAnsi" w:hAnsiTheme="minorHAnsi" w:cstheme="minorHAnsi"/>
        <w:i w:val="0"/>
        <w:sz w:val="18"/>
        <w:szCs w:val="18"/>
      </w:rPr>
      <w:t xml:space="preserve">More Space Main Street Application </w:t>
    </w:r>
    <w:r w:rsidR="004B1A93" w:rsidRPr="004B1A93">
      <w:rPr>
        <w:rFonts w:asciiTheme="minorHAnsi" w:hAnsiTheme="minorHAnsi" w:cstheme="minorHAnsi"/>
        <w:i w:val="0"/>
        <w:sz w:val="18"/>
        <w:szCs w:val="18"/>
      </w:rPr>
      <w:tab/>
    </w:r>
    <w:r w:rsidR="004B1A93" w:rsidRPr="004B1A93">
      <w:rPr>
        <w:rFonts w:asciiTheme="minorHAnsi" w:hAnsiTheme="minorHAnsi" w:cstheme="minorHAnsi"/>
        <w:i w:val="0"/>
        <w:noProof/>
        <w:sz w:val="18"/>
        <w:szCs w:val="18"/>
      </w:rPr>
      <w:t xml:space="preserve">Page </w:t>
    </w:r>
    <w:r w:rsidR="004B1A93" w:rsidRPr="004B1A93">
      <w:rPr>
        <w:rFonts w:asciiTheme="minorHAnsi" w:hAnsiTheme="minorHAnsi" w:cstheme="minorHAnsi"/>
        <w:bCs/>
        <w:i w:val="0"/>
        <w:noProof/>
        <w:sz w:val="18"/>
        <w:szCs w:val="18"/>
      </w:rPr>
      <w:fldChar w:fldCharType="begin"/>
    </w:r>
    <w:r w:rsidR="004B1A93" w:rsidRPr="004B1A93">
      <w:rPr>
        <w:rFonts w:asciiTheme="minorHAnsi" w:hAnsiTheme="minorHAnsi" w:cstheme="minorHAnsi"/>
        <w:bCs/>
        <w:i w:val="0"/>
        <w:noProof/>
        <w:sz w:val="18"/>
        <w:szCs w:val="18"/>
      </w:rPr>
      <w:instrText xml:space="preserve"> PAGE  \* Arabic  \* MERGEFORMAT </w:instrText>
    </w:r>
    <w:r w:rsidR="004B1A93" w:rsidRPr="004B1A93">
      <w:rPr>
        <w:rFonts w:asciiTheme="minorHAnsi" w:hAnsiTheme="minorHAnsi" w:cstheme="minorHAnsi"/>
        <w:bCs/>
        <w:i w:val="0"/>
        <w:noProof/>
        <w:sz w:val="18"/>
        <w:szCs w:val="18"/>
      </w:rPr>
      <w:fldChar w:fldCharType="separate"/>
    </w:r>
    <w:r w:rsidR="004B1A93" w:rsidRPr="004B1A93">
      <w:rPr>
        <w:rFonts w:asciiTheme="minorHAnsi" w:hAnsiTheme="minorHAnsi" w:cstheme="minorHAnsi"/>
        <w:bCs/>
        <w:i w:val="0"/>
        <w:noProof/>
        <w:sz w:val="18"/>
        <w:szCs w:val="18"/>
      </w:rPr>
      <w:t>1</w:t>
    </w:r>
    <w:r w:rsidR="004B1A93" w:rsidRPr="004B1A93">
      <w:rPr>
        <w:rFonts w:asciiTheme="minorHAnsi" w:hAnsiTheme="minorHAnsi" w:cstheme="minorHAnsi"/>
        <w:bCs/>
        <w:i w:val="0"/>
        <w:noProof/>
        <w:sz w:val="18"/>
        <w:szCs w:val="18"/>
      </w:rPr>
      <w:fldChar w:fldCharType="end"/>
    </w:r>
    <w:r w:rsidR="004B1A93" w:rsidRPr="004B1A93">
      <w:rPr>
        <w:rFonts w:asciiTheme="minorHAnsi" w:hAnsiTheme="minorHAnsi" w:cstheme="minorHAnsi"/>
        <w:i w:val="0"/>
        <w:noProof/>
        <w:sz w:val="18"/>
        <w:szCs w:val="18"/>
      </w:rPr>
      <w:t xml:space="preserve"> of </w:t>
    </w:r>
    <w:r w:rsidR="004B1A93" w:rsidRPr="004B1A93">
      <w:rPr>
        <w:rFonts w:asciiTheme="minorHAnsi" w:hAnsiTheme="minorHAnsi" w:cstheme="minorHAnsi"/>
        <w:bCs/>
        <w:i w:val="0"/>
        <w:noProof/>
        <w:sz w:val="18"/>
        <w:szCs w:val="18"/>
      </w:rPr>
      <w:fldChar w:fldCharType="begin"/>
    </w:r>
    <w:r w:rsidR="004B1A93" w:rsidRPr="004B1A93">
      <w:rPr>
        <w:rFonts w:asciiTheme="minorHAnsi" w:hAnsiTheme="minorHAnsi" w:cstheme="minorHAnsi"/>
        <w:bCs/>
        <w:i w:val="0"/>
        <w:noProof/>
        <w:sz w:val="18"/>
        <w:szCs w:val="18"/>
      </w:rPr>
      <w:instrText xml:space="preserve"> NUMPAGES  \* Arabic  \* MERGEFORMAT </w:instrText>
    </w:r>
    <w:r w:rsidR="004B1A93" w:rsidRPr="004B1A93">
      <w:rPr>
        <w:rFonts w:asciiTheme="minorHAnsi" w:hAnsiTheme="minorHAnsi" w:cstheme="minorHAnsi"/>
        <w:bCs/>
        <w:i w:val="0"/>
        <w:noProof/>
        <w:sz w:val="18"/>
        <w:szCs w:val="18"/>
      </w:rPr>
      <w:fldChar w:fldCharType="separate"/>
    </w:r>
    <w:r w:rsidR="004B1A93" w:rsidRPr="004B1A93">
      <w:rPr>
        <w:rFonts w:asciiTheme="minorHAnsi" w:hAnsiTheme="minorHAnsi" w:cstheme="minorHAnsi"/>
        <w:bCs/>
        <w:i w:val="0"/>
        <w:noProof/>
        <w:sz w:val="18"/>
        <w:szCs w:val="18"/>
      </w:rPr>
      <w:t>2</w:t>
    </w:r>
    <w:r w:rsidR="004B1A93" w:rsidRPr="004B1A93">
      <w:rPr>
        <w:rFonts w:asciiTheme="minorHAnsi" w:hAnsiTheme="minorHAnsi" w:cstheme="minorHAnsi"/>
        <w:bCs/>
        <w:i w:val="0"/>
        <w:noProof/>
        <w:sz w:val="18"/>
        <w:szCs w:val="18"/>
      </w:rPr>
      <w:fldChar w:fldCharType="end"/>
    </w:r>
  </w:p>
  <w:p w14:paraId="300363ED" w14:textId="4CC73AC1" w:rsidR="004B1A93" w:rsidRPr="004B1A93" w:rsidRDefault="004B1A93" w:rsidP="004B1A93">
    <w:pPr>
      <w:pStyle w:val="Footer"/>
      <w:pBdr>
        <w:top w:val="single" w:sz="2" w:space="1" w:color="auto"/>
      </w:pBdr>
      <w:tabs>
        <w:tab w:val="clear" w:pos="4680"/>
        <w:tab w:val="clear" w:pos="9360"/>
        <w:tab w:val="right" w:pos="10080"/>
      </w:tabs>
      <w:rPr>
        <w:rFonts w:asciiTheme="minorHAnsi" w:hAnsiTheme="minorHAnsi" w:cstheme="minorHAnsi"/>
        <w:i w:val="0"/>
        <w:sz w:val="18"/>
        <w:szCs w:val="18"/>
      </w:rPr>
    </w:pPr>
    <w:r w:rsidRPr="004B1A93">
      <w:rPr>
        <w:rFonts w:asciiTheme="minorHAnsi" w:hAnsiTheme="minorHAnsi" w:cstheme="minorHAnsi"/>
        <w:bCs/>
        <w:i w:val="0"/>
        <w:noProof/>
        <w:sz w:val="18"/>
        <w:szCs w:val="18"/>
      </w:rPr>
      <w:t>Planning &amp; Development Department</w:t>
    </w:r>
    <w:r w:rsidRPr="004B1A93">
      <w:rPr>
        <w:rFonts w:asciiTheme="minorHAnsi" w:hAnsiTheme="minorHAnsi" w:cstheme="minorHAnsi"/>
        <w:bCs/>
        <w:i w:val="0"/>
        <w:noProof/>
        <w:sz w:val="18"/>
        <w:szCs w:val="18"/>
      </w:rPr>
      <w:tab/>
    </w:r>
    <w:r w:rsidR="00FE0D0F">
      <w:rPr>
        <w:rFonts w:asciiTheme="minorHAnsi" w:hAnsiTheme="minorHAnsi" w:cstheme="minorHAnsi"/>
        <w:bCs/>
        <w:i w:val="0"/>
        <w:noProof/>
        <w:sz w:val="18"/>
        <w:szCs w:val="18"/>
      </w:rPr>
      <w:t>11</w:t>
    </w:r>
    <w:r w:rsidRPr="004B1A93">
      <w:rPr>
        <w:rFonts w:asciiTheme="minorHAnsi" w:hAnsiTheme="minorHAnsi" w:cstheme="minorHAnsi"/>
        <w:bCs/>
        <w:i w:val="0"/>
        <w:noProof/>
        <w:sz w:val="18"/>
        <w:szCs w:val="18"/>
      </w:rPr>
      <w:t>/</w:t>
    </w:r>
    <w:r w:rsidR="00FE0D0F">
      <w:rPr>
        <w:rFonts w:asciiTheme="minorHAnsi" w:hAnsiTheme="minorHAnsi" w:cstheme="minorHAnsi"/>
        <w:bCs/>
        <w:i w:val="0"/>
        <w:noProof/>
        <w:sz w:val="18"/>
        <w:szCs w:val="18"/>
      </w:rPr>
      <w:t>4</w:t>
    </w:r>
    <w:r w:rsidRPr="004B1A93">
      <w:rPr>
        <w:rFonts w:asciiTheme="minorHAnsi" w:hAnsiTheme="minorHAnsi" w:cstheme="minorHAnsi"/>
        <w:bCs/>
        <w:i w:val="0"/>
        <w:noProof/>
        <w:sz w:val="18"/>
        <w:szCs w:val="18"/>
      </w:rPr>
      <w:t>/20</w:t>
    </w:r>
    <w:r w:rsidR="00FE0D0F">
      <w:rPr>
        <w:rFonts w:asciiTheme="minorHAnsi" w:hAnsiTheme="minorHAnsi" w:cstheme="minorHAnsi"/>
        <w:bCs/>
        <w:i w:val="0"/>
        <w:noProof/>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91438" w14:textId="77777777" w:rsidR="000D13BF" w:rsidRDefault="000D13BF" w:rsidP="00EA21B2">
      <w:r>
        <w:separator/>
      </w:r>
    </w:p>
  </w:footnote>
  <w:footnote w:type="continuationSeparator" w:id="0">
    <w:p w14:paraId="179CE1DF" w14:textId="77777777" w:rsidR="000D13BF" w:rsidRDefault="000D13BF" w:rsidP="00EA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C841" w14:textId="77777777" w:rsidR="005E3FDB" w:rsidRPr="004B1A93" w:rsidRDefault="005E3FDB" w:rsidP="005E3FDB">
    <w:pPr>
      <w:pStyle w:val="Header"/>
      <w:rPr>
        <w:i w:val="0"/>
      </w:rPr>
    </w:pPr>
  </w:p>
  <w:p w14:paraId="3679156B" w14:textId="77777777" w:rsidR="005E3FDB" w:rsidRDefault="005E3FDB" w:rsidP="005E3FDB">
    <w:pPr>
      <w:pStyle w:val="Header"/>
      <w:pBdr>
        <w:bottom w:val="single" w:sz="36" w:space="1" w:color="auto"/>
      </w:pBdr>
      <w:rPr>
        <w:i w:val="0"/>
      </w:rPr>
    </w:pPr>
  </w:p>
  <w:p w14:paraId="5E377F5D" w14:textId="77777777" w:rsidR="004B1A93" w:rsidRPr="004B1A93" w:rsidRDefault="004B1A93" w:rsidP="004B1A93">
    <w:pPr>
      <w:pStyle w:val="Header"/>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5F7CC" w14:textId="77777777" w:rsidR="004B1A93" w:rsidRPr="004B1A93" w:rsidRDefault="004B1A93" w:rsidP="004B1A93">
    <w:pPr>
      <w:pStyle w:val="Header"/>
      <w:rPr>
        <w:i w:val="0"/>
      </w:rPr>
    </w:pPr>
  </w:p>
  <w:p w14:paraId="5550199C" w14:textId="77777777" w:rsidR="004B1A93" w:rsidRDefault="004B1A93" w:rsidP="004B1A93">
    <w:pPr>
      <w:pStyle w:val="Header"/>
      <w:pBdr>
        <w:bottom w:val="single" w:sz="36" w:space="1" w:color="auto"/>
      </w:pBdr>
      <w:rPr>
        <w:i w:val="0"/>
      </w:rPr>
    </w:pPr>
  </w:p>
  <w:p w14:paraId="7CF360F7" w14:textId="77777777" w:rsidR="004B1A93" w:rsidRPr="004B1A93" w:rsidRDefault="004B1A93" w:rsidP="004B1A93">
    <w:pPr>
      <w:pStyle w:val="Header"/>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CA1E"/>
    <w:multiLevelType w:val="hybridMultilevel"/>
    <w:tmpl w:val="89EF45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F941AF"/>
    <w:multiLevelType w:val="multilevel"/>
    <w:tmpl w:val="2A1E2C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BB41E3"/>
    <w:multiLevelType w:val="hybridMultilevel"/>
    <w:tmpl w:val="CB703AE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450223"/>
    <w:multiLevelType w:val="hybridMultilevel"/>
    <w:tmpl w:val="22045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FA757A"/>
    <w:multiLevelType w:val="hybridMultilevel"/>
    <w:tmpl w:val="B8F6281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587448"/>
    <w:multiLevelType w:val="hybridMultilevel"/>
    <w:tmpl w:val="76CA930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15:restartNumberingAfterBreak="0">
    <w:nsid w:val="1A282A99"/>
    <w:multiLevelType w:val="hybridMultilevel"/>
    <w:tmpl w:val="E32EEE6C"/>
    <w:lvl w:ilvl="0" w:tplc="6DFCBE1E">
      <w:start w:val="1"/>
      <w:numFmt w:val="bullet"/>
      <w:lvlText w:val=""/>
      <w:lvlJc w:val="left"/>
      <w:pPr>
        <w:ind w:left="806" w:hanging="360"/>
      </w:pPr>
      <w:rPr>
        <w:rFonts w:ascii="Wingdings 2" w:hAnsi="Wingdings 2"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22735F4A"/>
    <w:multiLevelType w:val="hybridMultilevel"/>
    <w:tmpl w:val="A3CC77C2"/>
    <w:lvl w:ilvl="0" w:tplc="6DFCBE1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92C10"/>
    <w:multiLevelType w:val="hybridMultilevel"/>
    <w:tmpl w:val="2084AF0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CBE0D"/>
    <w:multiLevelType w:val="hybridMultilevel"/>
    <w:tmpl w:val="1920B6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73119C8"/>
    <w:multiLevelType w:val="hybridMultilevel"/>
    <w:tmpl w:val="8ED4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D4D2F"/>
    <w:multiLevelType w:val="hybridMultilevel"/>
    <w:tmpl w:val="C5C0E83C"/>
    <w:lvl w:ilvl="0" w:tplc="7356235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081E8"/>
    <w:multiLevelType w:val="hybridMultilevel"/>
    <w:tmpl w:val="C22C27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76A63C8"/>
    <w:multiLevelType w:val="hybridMultilevel"/>
    <w:tmpl w:val="8618B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2908B5"/>
    <w:multiLevelType w:val="hybridMultilevel"/>
    <w:tmpl w:val="8EB4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738EC"/>
    <w:multiLevelType w:val="hybridMultilevel"/>
    <w:tmpl w:val="CFD00D64"/>
    <w:lvl w:ilvl="0" w:tplc="6DFCBE1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C0E48"/>
    <w:multiLevelType w:val="hybridMultilevel"/>
    <w:tmpl w:val="1B3C23C0"/>
    <w:lvl w:ilvl="0" w:tplc="6DFCBE1E">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0132A06"/>
    <w:multiLevelType w:val="hybridMultilevel"/>
    <w:tmpl w:val="A296C8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F7AD6"/>
    <w:multiLevelType w:val="hybridMultilevel"/>
    <w:tmpl w:val="5C581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5824F8"/>
    <w:multiLevelType w:val="hybridMultilevel"/>
    <w:tmpl w:val="F486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5B26DB"/>
    <w:multiLevelType w:val="multilevel"/>
    <w:tmpl w:val="ADC03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A685B9A"/>
    <w:multiLevelType w:val="hybridMultilevel"/>
    <w:tmpl w:val="D9D68E12"/>
    <w:lvl w:ilvl="0" w:tplc="6DFCBE1E">
      <w:start w:val="1"/>
      <w:numFmt w:val="bullet"/>
      <w:lvlText w:val=""/>
      <w:lvlJc w:val="left"/>
      <w:pPr>
        <w:ind w:left="806" w:hanging="360"/>
      </w:pPr>
      <w:rPr>
        <w:rFonts w:ascii="Wingdings 2" w:hAnsi="Wingdings 2"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 w15:restartNumberingAfterBreak="0">
    <w:nsid w:val="6D94150A"/>
    <w:multiLevelType w:val="hybridMultilevel"/>
    <w:tmpl w:val="E5D23164"/>
    <w:lvl w:ilvl="0" w:tplc="53DA284C">
      <w:start w:val="1"/>
      <w:numFmt w:val="bullet"/>
      <w:lvlText w:val=""/>
      <w:lvlJc w:val="left"/>
      <w:pPr>
        <w:ind w:left="140" w:hanging="360"/>
      </w:pPr>
      <w:rPr>
        <w:rFonts w:ascii="Wingdings 2" w:hAnsi="Wingdings 2" w:hint="default"/>
        <w:b/>
        <w:bCs/>
      </w:rPr>
    </w:lvl>
    <w:lvl w:ilvl="1" w:tplc="04090003" w:tentative="1">
      <w:start w:val="1"/>
      <w:numFmt w:val="bullet"/>
      <w:lvlText w:val="o"/>
      <w:lvlJc w:val="left"/>
      <w:pPr>
        <w:ind w:left="860" w:hanging="360"/>
      </w:pPr>
      <w:rPr>
        <w:rFonts w:ascii="Courier New" w:hAnsi="Courier New" w:cs="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cs="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cs="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23" w15:restartNumberingAfterBreak="0">
    <w:nsid w:val="7C69193F"/>
    <w:multiLevelType w:val="hybridMultilevel"/>
    <w:tmpl w:val="989070EC"/>
    <w:lvl w:ilvl="0" w:tplc="6DFCBE1E">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
  </w:num>
  <w:num w:numId="4">
    <w:abstractNumId w:val="19"/>
  </w:num>
  <w:num w:numId="5">
    <w:abstractNumId w:val="10"/>
  </w:num>
  <w:num w:numId="6">
    <w:abstractNumId w:val="17"/>
  </w:num>
  <w:num w:numId="7">
    <w:abstractNumId w:val="20"/>
  </w:num>
  <w:num w:numId="8">
    <w:abstractNumId w:val="1"/>
  </w:num>
  <w:num w:numId="9">
    <w:abstractNumId w:val="11"/>
  </w:num>
  <w:num w:numId="10">
    <w:abstractNumId w:val="12"/>
  </w:num>
  <w:num w:numId="11">
    <w:abstractNumId w:val="0"/>
  </w:num>
  <w:num w:numId="12">
    <w:abstractNumId w:val="23"/>
  </w:num>
  <w:num w:numId="13">
    <w:abstractNumId w:val="7"/>
  </w:num>
  <w:num w:numId="14">
    <w:abstractNumId w:val="15"/>
  </w:num>
  <w:num w:numId="15">
    <w:abstractNumId w:val="22"/>
  </w:num>
  <w:num w:numId="16">
    <w:abstractNumId w:val="9"/>
  </w:num>
  <w:num w:numId="17">
    <w:abstractNumId w:val="6"/>
  </w:num>
  <w:num w:numId="18">
    <w:abstractNumId w:val="5"/>
  </w:num>
  <w:num w:numId="19">
    <w:abstractNumId w:val="21"/>
  </w:num>
  <w:num w:numId="20">
    <w:abstractNumId w:val="16"/>
  </w:num>
  <w:num w:numId="21">
    <w:abstractNumId w:val="8"/>
  </w:num>
  <w:num w:numId="22">
    <w:abstractNumId w:val="4"/>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8E"/>
    <w:rsid w:val="00012DDB"/>
    <w:rsid w:val="00070C51"/>
    <w:rsid w:val="0007132A"/>
    <w:rsid w:val="000D0945"/>
    <w:rsid w:val="000D13BF"/>
    <w:rsid w:val="000D36E5"/>
    <w:rsid w:val="00107421"/>
    <w:rsid w:val="00122649"/>
    <w:rsid w:val="00134377"/>
    <w:rsid w:val="00144A16"/>
    <w:rsid w:val="00146CC9"/>
    <w:rsid w:val="00186F38"/>
    <w:rsid w:val="001B5D45"/>
    <w:rsid w:val="001F1164"/>
    <w:rsid w:val="0022298B"/>
    <w:rsid w:val="002253AA"/>
    <w:rsid w:val="0028108E"/>
    <w:rsid w:val="00284DDA"/>
    <w:rsid w:val="002943E6"/>
    <w:rsid w:val="002B2A1F"/>
    <w:rsid w:val="002B75A4"/>
    <w:rsid w:val="0035524A"/>
    <w:rsid w:val="00356E5A"/>
    <w:rsid w:val="003F73EA"/>
    <w:rsid w:val="00440F21"/>
    <w:rsid w:val="00466FC8"/>
    <w:rsid w:val="00472C3C"/>
    <w:rsid w:val="0049434B"/>
    <w:rsid w:val="004B1A93"/>
    <w:rsid w:val="004B5309"/>
    <w:rsid w:val="004E69C0"/>
    <w:rsid w:val="005068D8"/>
    <w:rsid w:val="00514260"/>
    <w:rsid w:val="00517EAB"/>
    <w:rsid w:val="00543C7E"/>
    <w:rsid w:val="0059445A"/>
    <w:rsid w:val="00594507"/>
    <w:rsid w:val="005B2979"/>
    <w:rsid w:val="005C55F1"/>
    <w:rsid w:val="005E0B5B"/>
    <w:rsid w:val="005E3FDB"/>
    <w:rsid w:val="0060766C"/>
    <w:rsid w:val="00621123"/>
    <w:rsid w:val="00677917"/>
    <w:rsid w:val="006A1560"/>
    <w:rsid w:val="006A52A2"/>
    <w:rsid w:val="006E05E0"/>
    <w:rsid w:val="007018B3"/>
    <w:rsid w:val="007057E2"/>
    <w:rsid w:val="00715432"/>
    <w:rsid w:val="00731F74"/>
    <w:rsid w:val="00752596"/>
    <w:rsid w:val="007A683D"/>
    <w:rsid w:val="007F611B"/>
    <w:rsid w:val="007F7047"/>
    <w:rsid w:val="008C5643"/>
    <w:rsid w:val="008F6343"/>
    <w:rsid w:val="0096668E"/>
    <w:rsid w:val="00970391"/>
    <w:rsid w:val="009C33A6"/>
    <w:rsid w:val="009F38E5"/>
    <w:rsid w:val="00A21CFA"/>
    <w:rsid w:val="00A355C7"/>
    <w:rsid w:val="00A35A15"/>
    <w:rsid w:val="00A47416"/>
    <w:rsid w:val="00A92D88"/>
    <w:rsid w:val="00A934BF"/>
    <w:rsid w:val="00AC3458"/>
    <w:rsid w:val="00AE2134"/>
    <w:rsid w:val="00AE3DD1"/>
    <w:rsid w:val="00B67F07"/>
    <w:rsid w:val="00BC5405"/>
    <w:rsid w:val="00BD0CAE"/>
    <w:rsid w:val="00BE1C97"/>
    <w:rsid w:val="00C06C10"/>
    <w:rsid w:val="00C13469"/>
    <w:rsid w:val="00C17E81"/>
    <w:rsid w:val="00CB4108"/>
    <w:rsid w:val="00CB6E77"/>
    <w:rsid w:val="00CC3644"/>
    <w:rsid w:val="00CD2454"/>
    <w:rsid w:val="00DD1C52"/>
    <w:rsid w:val="00DD4379"/>
    <w:rsid w:val="00E07C3B"/>
    <w:rsid w:val="00E205A1"/>
    <w:rsid w:val="00E5366F"/>
    <w:rsid w:val="00E64BFB"/>
    <w:rsid w:val="00EA21B2"/>
    <w:rsid w:val="00EC0DE9"/>
    <w:rsid w:val="00EE1CF2"/>
    <w:rsid w:val="00F249AF"/>
    <w:rsid w:val="00F25FAD"/>
    <w:rsid w:val="00F30A00"/>
    <w:rsid w:val="00F46AD0"/>
    <w:rsid w:val="00F73D8D"/>
    <w:rsid w:val="00F81B36"/>
    <w:rsid w:val="00F823A6"/>
    <w:rsid w:val="00FE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2F765"/>
  <w15:docId w15:val="{34EC57DB-4EF4-4925-8CD1-B8877156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ource Description"/>
    <w:qFormat/>
    <w:rsid w:val="00EA21B2"/>
    <w:pPr>
      <w:spacing w:after="0"/>
    </w:pPr>
    <w:rPr>
      <w:rFonts w:ascii="Georgia" w:hAnsi="Georgia" w:cs="TimesNewRomanPS-ItalicMT"/>
      <w:i/>
      <w:iCs/>
      <w:sz w:val="20"/>
      <w:szCs w:val="20"/>
    </w:rPr>
  </w:style>
  <w:style w:type="paragraph" w:styleId="Heading1">
    <w:name w:val="heading 1"/>
    <w:basedOn w:val="ReportHeadline"/>
    <w:next w:val="Normal"/>
    <w:link w:val="Heading1Char"/>
    <w:uiPriority w:val="9"/>
    <w:qFormat/>
    <w:rsid w:val="005E3FDB"/>
    <w:pPr>
      <w:spacing w:before="240" w:line="264" w:lineRule="auto"/>
      <w:outlineLvl w:val="0"/>
    </w:pPr>
    <w:rPr>
      <w:rFonts w:asciiTheme="minorHAnsi" w:hAnsiTheme="minorHAnsi"/>
      <w:b/>
      <w:i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F38"/>
    <w:pPr>
      <w:tabs>
        <w:tab w:val="center" w:pos="4680"/>
        <w:tab w:val="right" w:pos="9360"/>
      </w:tabs>
      <w:spacing w:line="240" w:lineRule="auto"/>
    </w:pPr>
  </w:style>
  <w:style w:type="character" w:customStyle="1" w:styleId="HeaderChar">
    <w:name w:val="Header Char"/>
    <w:basedOn w:val="DefaultParagraphFont"/>
    <w:link w:val="Header"/>
    <w:uiPriority w:val="99"/>
    <w:rsid w:val="00186F38"/>
  </w:style>
  <w:style w:type="paragraph" w:styleId="Footer">
    <w:name w:val="footer"/>
    <w:basedOn w:val="Normal"/>
    <w:link w:val="FooterChar"/>
    <w:uiPriority w:val="99"/>
    <w:unhideWhenUsed/>
    <w:rsid w:val="00186F38"/>
    <w:pPr>
      <w:tabs>
        <w:tab w:val="center" w:pos="4680"/>
        <w:tab w:val="right" w:pos="9360"/>
      </w:tabs>
      <w:spacing w:line="240" w:lineRule="auto"/>
    </w:pPr>
  </w:style>
  <w:style w:type="character" w:customStyle="1" w:styleId="FooterChar">
    <w:name w:val="Footer Char"/>
    <w:basedOn w:val="DefaultParagraphFont"/>
    <w:link w:val="Footer"/>
    <w:uiPriority w:val="99"/>
    <w:rsid w:val="00186F38"/>
  </w:style>
  <w:style w:type="paragraph" w:styleId="BalloonText">
    <w:name w:val="Balloon Text"/>
    <w:basedOn w:val="Normal"/>
    <w:link w:val="BalloonTextChar"/>
    <w:uiPriority w:val="99"/>
    <w:semiHidden/>
    <w:unhideWhenUsed/>
    <w:rsid w:val="00186F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F38"/>
    <w:rPr>
      <w:rFonts w:ascii="Tahoma" w:hAnsi="Tahoma" w:cs="Tahoma"/>
      <w:sz w:val="16"/>
      <w:szCs w:val="16"/>
    </w:rPr>
  </w:style>
  <w:style w:type="table" w:styleId="TableGrid">
    <w:name w:val="Table Grid"/>
    <w:basedOn w:val="TableNormal"/>
    <w:uiPriority w:val="59"/>
    <w:rsid w:val="00EE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7F07"/>
    <w:rPr>
      <w:sz w:val="16"/>
      <w:szCs w:val="16"/>
    </w:rPr>
  </w:style>
  <w:style w:type="paragraph" w:styleId="CommentText">
    <w:name w:val="annotation text"/>
    <w:basedOn w:val="Normal"/>
    <w:link w:val="CommentTextChar"/>
    <w:uiPriority w:val="99"/>
    <w:semiHidden/>
    <w:unhideWhenUsed/>
    <w:rsid w:val="00B67F07"/>
    <w:pPr>
      <w:spacing w:line="240" w:lineRule="auto"/>
    </w:pPr>
  </w:style>
  <w:style w:type="character" w:customStyle="1" w:styleId="CommentTextChar">
    <w:name w:val="Comment Text Char"/>
    <w:basedOn w:val="DefaultParagraphFont"/>
    <w:link w:val="CommentText"/>
    <w:uiPriority w:val="99"/>
    <w:semiHidden/>
    <w:rsid w:val="00B67F07"/>
    <w:rPr>
      <w:sz w:val="20"/>
      <w:szCs w:val="20"/>
    </w:rPr>
  </w:style>
  <w:style w:type="paragraph" w:styleId="CommentSubject">
    <w:name w:val="annotation subject"/>
    <w:basedOn w:val="CommentText"/>
    <w:next w:val="CommentText"/>
    <w:link w:val="CommentSubjectChar"/>
    <w:uiPriority w:val="99"/>
    <w:semiHidden/>
    <w:unhideWhenUsed/>
    <w:rsid w:val="00B67F07"/>
    <w:rPr>
      <w:b/>
      <w:bCs/>
    </w:rPr>
  </w:style>
  <w:style w:type="character" w:customStyle="1" w:styleId="CommentSubjectChar">
    <w:name w:val="Comment Subject Char"/>
    <w:basedOn w:val="CommentTextChar"/>
    <w:link w:val="CommentSubject"/>
    <w:uiPriority w:val="99"/>
    <w:semiHidden/>
    <w:rsid w:val="00B67F07"/>
    <w:rPr>
      <w:b/>
      <w:bCs/>
      <w:sz w:val="20"/>
      <w:szCs w:val="20"/>
    </w:rPr>
  </w:style>
  <w:style w:type="paragraph" w:customStyle="1" w:styleId="ReportHeadline">
    <w:name w:val="Report Headline"/>
    <w:basedOn w:val="Normal"/>
    <w:link w:val="ReportHeadlineChar"/>
    <w:qFormat/>
    <w:rsid w:val="00EA21B2"/>
    <w:pPr>
      <w:spacing w:before="120" w:line="240" w:lineRule="auto"/>
      <w:contextualSpacing/>
    </w:pPr>
    <w:rPr>
      <w:rFonts w:ascii="Verdana" w:hAnsi="Verdana" w:cstheme="minorHAnsi"/>
      <w:noProof/>
      <w:sz w:val="36"/>
      <w:szCs w:val="36"/>
    </w:rPr>
  </w:style>
  <w:style w:type="paragraph" w:customStyle="1" w:styleId="ReportDescriptiontext">
    <w:name w:val="Report Description text"/>
    <w:basedOn w:val="Normal"/>
    <w:qFormat/>
    <w:rsid w:val="00F249AF"/>
    <w:pPr>
      <w:tabs>
        <w:tab w:val="left" w:pos="2340"/>
      </w:tabs>
      <w:autoSpaceDE w:val="0"/>
      <w:autoSpaceDN w:val="0"/>
      <w:adjustRightInd w:val="0"/>
      <w:spacing w:before="120"/>
    </w:pPr>
    <w:rPr>
      <w:i w:val="0"/>
      <w:iCs w:val="0"/>
    </w:rPr>
  </w:style>
  <w:style w:type="paragraph" w:customStyle="1" w:styleId="Tableheading">
    <w:name w:val="Table heading"/>
    <w:basedOn w:val="Normal"/>
    <w:qFormat/>
    <w:rsid w:val="00EA21B2"/>
    <w:pPr>
      <w:autoSpaceDE w:val="0"/>
      <w:autoSpaceDN w:val="0"/>
      <w:adjustRightInd w:val="0"/>
      <w:spacing w:line="240" w:lineRule="auto"/>
      <w:jc w:val="center"/>
    </w:pPr>
    <w:rPr>
      <w:rFonts w:ascii="Verdana" w:hAnsi="Verdana" w:cstheme="minorHAnsi"/>
      <w:b/>
      <w:color w:val="FFFFFF"/>
      <w:sz w:val="18"/>
    </w:rPr>
  </w:style>
  <w:style w:type="paragraph" w:styleId="NoSpacing">
    <w:name w:val="No Spacing"/>
    <w:aliases w:val="Table Text"/>
    <w:basedOn w:val="Tableheading"/>
    <w:uiPriority w:val="1"/>
    <w:qFormat/>
    <w:rsid w:val="00EA21B2"/>
    <w:rPr>
      <w:b w:val="0"/>
      <w:color w:val="auto"/>
      <w:szCs w:val="18"/>
    </w:rPr>
  </w:style>
  <w:style w:type="paragraph" w:styleId="ListParagraph">
    <w:name w:val="List Paragraph"/>
    <w:basedOn w:val="Normal"/>
    <w:uiPriority w:val="34"/>
    <w:qFormat/>
    <w:rsid w:val="004B5309"/>
    <w:pPr>
      <w:spacing w:line="240" w:lineRule="auto"/>
      <w:ind w:left="720"/>
    </w:pPr>
    <w:rPr>
      <w:rFonts w:ascii="Calibri" w:eastAsiaTheme="minorHAnsi" w:hAnsi="Calibri" w:cs="Times New Roman"/>
      <w:i w:val="0"/>
      <w:iCs w:val="0"/>
      <w:sz w:val="22"/>
      <w:szCs w:val="22"/>
    </w:rPr>
  </w:style>
  <w:style w:type="paragraph" w:styleId="Title">
    <w:name w:val="Title"/>
    <w:basedOn w:val="ReportHeadline"/>
    <w:next w:val="Normal"/>
    <w:link w:val="TitleChar"/>
    <w:uiPriority w:val="10"/>
    <w:qFormat/>
    <w:rsid w:val="005E3FDB"/>
    <w:rPr>
      <w:rFonts w:ascii="Georgia" w:hAnsi="Georgia"/>
    </w:rPr>
  </w:style>
  <w:style w:type="character" w:customStyle="1" w:styleId="TitleChar">
    <w:name w:val="Title Char"/>
    <w:basedOn w:val="DefaultParagraphFont"/>
    <w:link w:val="Title"/>
    <w:uiPriority w:val="10"/>
    <w:rsid w:val="005E3FDB"/>
    <w:rPr>
      <w:rFonts w:ascii="Georgia" w:hAnsi="Georgia" w:cstheme="minorHAnsi"/>
      <w:i/>
      <w:iCs/>
      <w:noProof/>
      <w:sz w:val="36"/>
      <w:szCs w:val="36"/>
    </w:rPr>
  </w:style>
  <w:style w:type="paragraph" w:styleId="Subtitle">
    <w:name w:val="Subtitle"/>
    <w:basedOn w:val="ReportHeadline"/>
    <w:next w:val="Normal"/>
    <w:link w:val="SubtitleChar"/>
    <w:uiPriority w:val="11"/>
    <w:qFormat/>
    <w:rsid w:val="005E3FDB"/>
    <w:pPr>
      <w:spacing w:before="0"/>
    </w:pPr>
    <w:rPr>
      <w:rFonts w:ascii="Georgia" w:hAnsi="Georgia"/>
      <w:sz w:val="28"/>
      <w:szCs w:val="28"/>
    </w:rPr>
  </w:style>
  <w:style w:type="character" w:customStyle="1" w:styleId="SubtitleChar">
    <w:name w:val="Subtitle Char"/>
    <w:basedOn w:val="DefaultParagraphFont"/>
    <w:link w:val="Subtitle"/>
    <w:uiPriority w:val="11"/>
    <w:rsid w:val="005E3FDB"/>
    <w:rPr>
      <w:rFonts w:ascii="Georgia" w:hAnsi="Georgia" w:cstheme="minorHAnsi"/>
      <w:i/>
      <w:iCs/>
      <w:noProof/>
      <w:sz w:val="28"/>
      <w:szCs w:val="28"/>
    </w:rPr>
  </w:style>
  <w:style w:type="paragraph" w:customStyle="1" w:styleId="Typicaltext">
    <w:name w:val="Typical text"/>
    <w:basedOn w:val="Normal"/>
    <w:link w:val="TypicaltextChar"/>
    <w:qFormat/>
    <w:rsid w:val="005E3FDB"/>
    <w:pPr>
      <w:spacing w:after="120" w:line="264" w:lineRule="auto"/>
    </w:pPr>
    <w:rPr>
      <w:rFonts w:asciiTheme="minorHAnsi" w:hAnsiTheme="minorHAnsi" w:cstheme="minorHAnsi"/>
      <w:i w:val="0"/>
      <w:noProof/>
      <w:sz w:val="22"/>
      <w:szCs w:val="22"/>
    </w:rPr>
  </w:style>
  <w:style w:type="character" w:customStyle="1" w:styleId="Heading1Char">
    <w:name w:val="Heading 1 Char"/>
    <w:basedOn w:val="DefaultParagraphFont"/>
    <w:link w:val="Heading1"/>
    <w:uiPriority w:val="9"/>
    <w:rsid w:val="005E3FDB"/>
    <w:rPr>
      <w:rFonts w:cstheme="minorHAnsi"/>
      <w:b/>
      <w:iCs/>
      <w:noProof/>
      <w:sz w:val="24"/>
      <w:szCs w:val="24"/>
    </w:rPr>
  </w:style>
  <w:style w:type="character" w:customStyle="1" w:styleId="ReportHeadlineChar">
    <w:name w:val="Report Headline Char"/>
    <w:basedOn w:val="DefaultParagraphFont"/>
    <w:link w:val="ReportHeadline"/>
    <w:rsid w:val="005E3FDB"/>
    <w:rPr>
      <w:rFonts w:ascii="Verdana" w:hAnsi="Verdana" w:cstheme="minorHAnsi"/>
      <w:i/>
      <w:iCs/>
      <w:noProof/>
      <w:sz w:val="36"/>
      <w:szCs w:val="36"/>
    </w:rPr>
  </w:style>
  <w:style w:type="character" w:customStyle="1" w:styleId="TypicaltextChar">
    <w:name w:val="Typical text Char"/>
    <w:basedOn w:val="ReportHeadlineChar"/>
    <w:link w:val="Typicaltext"/>
    <w:rsid w:val="005E3FDB"/>
    <w:rPr>
      <w:rFonts w:ascii="Verdana" w:hAnsi="Verdana" w:cstheme="minorHAnsi"/>
      <w:i w:val="0"/>
      <w:iCs/>
      <w:noProof/>
      <w:sz w:val="36"/>
      <w:szCs w:val="36"/>
    </w:rPr>
  </w:style>
  <w:style w:type="paragraph" w:customStyle="1" w:styleId="Bullettext">
    <w:name w:val="Bullet text"/>
    <w:basedOn w:val="Typicaltext"/>
    <w:link w:val="BullettextChar"/>
    <w:qFormat/>
    <w:rsid w:val="005E3FDB"/>
  </w:style>
  <w:style w:type="character" w:customStyle="1" w:styleId="BullettextChar">
    <w:name w:val="Bullet text Char"/>
    <w:basedOn w:val="TypicaltextChar"/>
    <w:link w:val="Bullettext"/>
    <w:rsid w:val="005E3FDB"/>
    <w:rPr>
      <w:rFonts w:ascii="Verdana" w:hAnsi="Verdana" w:cstheme="minorHAnsi"/>
      <w:i w:val="0"/>
      <w:iCs/>
      <w:noProof/>
      <w:sz w:val="36"/>
      <w:szCs w:val="36"/>
    </w:rPr>
  </w:style>
  <w:style w:type="paragraph" w:customStyle="1" w:styleId="paragraph">
    <w:name w:val="paragraph"/>
    <w:basedOn w:val="Normal"/>
    <w:rsid w:val="001F1164"/>
    <w:pPr>
      <w:spacing w:line="240" w:lineRule="auto"/>
    </w:pPr>
    <w:rPr>
      <w:rFonts w:ascii="Times New Roman" w:eastAsia="Times New Roman" w:hAnsi="Times New Roman" w:cs="Times New Roman"/>
      <w:i w:val="0"/>
      <w:iCs w:val="0"/>
      <w:sz w:val="24"/>
      <w:szCs w:val="24"/>
    </w:rPr>
  </w:style>
  <w:style w:type="character" w:customStyle="1" w:styleId="normaltextrun1">
    <w:name w:val="normaltextrun1"/>
    <w:basedOn w:val="DefaultParagraphFont"/>
    <w:rsid w:val="001F1164"/>
  </w:style>
  <w:style w:type="character" w:customStyle="1" w:styleId="eop">
    <w:name w:val="eop"/>
    <w:basedOn w:val="DefaultParagraphFont"/>
    <w:rsid w:val="001F1164"/>
  </w:style>
  <w:style w:type="character" w:customStyle="1" w:styleId="spellingerror">
    <w:name w:val="spellingerror"/>
    <w:basedOn w:val="DefaultParagraphFont"/>
    <w:rsid w:val="001F1164"/>
  </w:style>
  <w:style w:type="character" w:styleId="Hyperlink">
    <w:name w:val="Hyperlink"/>
    <w:basedOn w:val="DefaultParagraphFont"/>
    <w:uiPriority w:val="99"/>
    <w:unhideWhenUsed/>
    <w:rsid w:val="001F1164"/>
    <w:rPr>
      <w:color w:val="0000FF" w:themeColor="hyperlink"/>
      <w:u w:val="single"/>
    </w:rPr>
  </w:style>
  <w:style w:type="paragraph" w:customStyle="1" w:styleId="Default">
    <w:name w:val="Default"/>
    <w:rsid w:val="005945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662">
      <w:bodyDiv w:val="1"/>
      <w:marLeft w:val="0"/>
      <w:marRight w:val="0"/>
      <w:marTop w:val="0"/>
      <w:marBottom w:val="0"/>
      <w:divBdr>
        <w:top w:val="none" w:sz="0" w:space="0" w:color="auto"/>
        <w:left w:val="none" w:sz="0" w:space="0" w:color="auto"/>
        <w:bottom w:val="none" w:sz="0" w:space="0" w:color="auto"/>
        <w:right w:val="none" w:sz="0" w:space="0" w:color="auto"/>
      </w:divBdr>
    </w:div>
    <w:div w:id="1044136988">
      <w:bodyDiv w:val="1"/>
      <w:marLeft w:val="0"/>
      <w:marRight w:val="0"/>
      <w:marTop w:val="0"/>
      <w:marBottom w:val="0"/>
      <w:divBdr>
        <w:top w:val="none" w:sz="0" w:space="0" w:color="auto"/>
        <w:left w:val="none" w:sz="0" w:space="0" w:color="auto"/>
        <w:bottom w:val="none" w:sz="0" w:space="0" w:color="auto"/>
        <w:right w:val="none" w:sz="0" w:space="0" w:color="auto"/>
      </w:divBdr>
    </w:div>
    <w:div w:id="1057435836">
      <w:bodyDiv w:val="1"/>
      <w:marLeft w:val="0"/>
      <w:marRight w:val="0"/>
      <w:marTop w:val="0"/>
      <w:marBottom w:val="0"/>
      <w:divBdr>
        <w:top w:val="none" w:sz="0" w:space="0" w:color="auto"/>
        <w:left w:val="none" w:sz="0" w:space="0" w:color="auto"/>
        <w:bottom w:val="none" w:sz="0" w:space="0" w:color="auto"/>
        <w:right w:val="none" w:sz="0" w:space="0" w:color="auto"/>
      </w:divBdr>
    </w:div>
    <w:div w:id="20975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D5FB-E882-4DE9-A5C9-533D9FA4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1473</Words>
  <Characters>8210</Characters>
  <Application>Microsoft Office Word</Application>
  <DocSecurity>0</DocSecurity>
  <Lines>154</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Wallace Brown, Margaret - PD</dc:creator>
  <cp:lastModifiedBy>Vu, Peter - PD</cp:lastModifiedBy>
  <cp:revision>2</cp:revision>
  <cp:lastPrinted>2021-04-26T14:00:00Z</cp:lastPrinted>
  <dcterms:created xsi:type="dcterms:W3CDTF">2021-04-26T16:13:00Z</dcterms:created>
  <dcterms:modified xsi:type="dcterms:W3CDTF">2021-04-26T16:13:00Z</dcterms:modified>
</cp:coreProperties>
</file>