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95" w:rsidRPr="008A32EF" w:rsidRDefault="008A32EF" w:rsidP="00083F5F">
      <w:pPr>
        <w:shd w:val="clear" w:color="auto" w:fill="FFFFFF"/>
        <w:spacing w:after="300" w:line="840" w:lineRule="atLeast"/>
        <w:outlineLvl w:val="0"/>
        <w:rPr>
          <w:rFonts w:eastAsia="Times New Roman" w:cs="Arial"/>
          <w:caps/>
          <w:color w:val="2F6C5F"/>
          <w:kern w:val="36"/>
          <w:sz w:val="48"/>
          <w:szCs w:val="48"/>
        </w:rPr>
      </w:pPr>
      <w:bookmarkStart w:id="0" w:name="_GoBack"/>
      <w:bookmarkEnd w:id="0"/>
      <w:r w:rsidRPr="008A32EF">
        <w:rPr>
          <w:rFonts w:eastAsia="Times New Roman" w:cs="Arial"/>
          <w:caps/>
          <w:color w:val="2F6C5F"/>
          <w:kern w:val="36"/>
          <w:sz w:val="48"/>
          <w:szCs w:val="48"/>
          <w:lang w:val="es-ES_tradnl"/>
        </w:rPr>
        <w:t>CÓDIGOS de LAS infracciones</w:t>
      </w:r>
    </w:p>
    <w:p w:rsidR="00662B95" w:rsidRPr="008A32EF" w:rsidRDefault="008A32EF" w:rsidP="0003739E">
      <w:pPr>
        <w:shd w:val="clear" w:color="auto" w:fill="FFFFFF"/>
        <w:spacing w:after="160" w:line="300" w:lineRule="atLeast"/>
        <w:rPr>
          <w:rFonts w:eastAsia="Times New Roman" w:cs="Arial"/>
          <w:color w:val="333333"/>
          <w:sz w:val="20"/>
          <w:szCs w:val="20"/>
        </w:rPr>
      </w:pPr>
      <w:r w:rsidRPr="008A32EF">
        <w:rPr>
          <w:rFonts w:eastAsia="Times New Roman" w:cs="Arial"/>
          <w:b/>
          <w:bCs/>
          <w:color w:val="333333"/>
          <w:sz w:val="20"/>
          <w:szCs w:val="20"/>
          <w:lang w:val="es-ES_tradnl"/>
        </w:rPr>
        <w:t>Código de Transporte de Texas</w:t>
      </w:r>
      <w:r w:rsidR="00662B95" w:rsidRPr="008A32EF">
        <w:rPr>
          <w:rFonts w:eastAsia="Times New Roman" w:cs="Arial"/>
          <w:color w:val="333333"/>
          <w:sz w:val="20"/>
          <w:szCs w:val="20"/>
        </w:rPr>
        <w:br/>
      </w:r>
      <w:r w:rsidRPr="008A32EF">
        <w:rPr>
          <w:rFonts w:eastAsia="Times New Roman" w:cs="Arial"/>
          <w:color w:val="333333"/>
          <w:sz w:val="20"/>
          <w:szCs w:val="20"/>
          <w:lang w:val="es-ES_tradnl"/>
        </w:rPr>
        <w:t>Por lo general, la señalización no se publica en las reglamentaciones de estacionamiento incluidas en el Código de Transporte de Texas porque se proporcionan en el Manual del Conductor del Departamento de Seguridad Pública de Texas.</w:t>
      </w:r>
      <w:r w:rsidR="00662B95" w:rsidRPr="008A32EF">
        <w:rPr>
          <w:rFonts w:eastAsia="Times New Roman" w:cs="Arial"/>
          <w:color w:val="333333"/>
          <w:sz w:val="20"/>
          <w:szCs w:val="20"/>
        </w:rPr>
        <w:t xml:space="preserve"> </w:t>
      </w:r>
      <w:r w:rsidRPr="008A32EF">
        <w:rPr>
          <w:rFonts w:eastAsia="Times New Roman" w:cs="Arial"/>
          <w:color w:val="333333"/>
          <w:sz w:val="20"/>
          <w:szCs w:val="20"/>
          <w:lang w:val="es-ES_tradnl"/>
        </w:rPr>
        <w:t>Las reglamentaciones de estacionamiento incluidas en el Código de Transporte de Texas se encuentran disponibles en el siguiente enlace.</w:t>
      </w:r>
    </w:p>
    <w:p w:rsidR="00662B95" w:rsidRPr="008A32EF" w:rsidRDefault="003115A5" w:rsidP="000D12E6">
      <w:pPr>
        <w:numPr>
          <w:ilvl w:val="0"/>
          <w:numId w:val="1"/>
        </w:numPr>
        <w:shd w:val="clear" w:color="auto" w:fill="FFFFFF"/>
        <w:spacing w:before="100" w:beforeAutospacing="1" w:after="100" w:afterAutospacing="1" w:line="420" w:lineRule="atLeast"/>
        <w:ind w:left="375"/>
        <w:rPr>
          <w:rFonts w:eastAsia="Times New Roman" w:cs="Arial"/>
          <w:noProof/>
          <w:color w:val="333333"/>
          <w:sz w:val="20"/>
          <w:szCs w:val="20"/>
        </w:rPr>
      </w:pPr>
      <w:hyperlink r:id="rId5" w:anchor="545.302" w:tgtFrame="_blank" w:history="1">
        <w:r w:rsidR="00662B95" w:rsidRPr="008A32EF">
          <w:rPr>
            <w:rFonts w:eastAsia="Times New Roman" w:cs="Arial"/>
            <w:noProof/>
            <w:color w:val="2F6C5F"/>
            <w:sz w:val="20"/>
            <w:szCs w:val="20"/>
          </w:rPr>
          <w:t>http://www.statutes.legis.state.tx.us/SOTWDocs/TN/htm/TN.545.htm#545.302</w:t>
        </w:r>
      </w:hyperlink>
    </w:p>
    <w:p w:rsidR="00662B95" w:rsidRPr="008A32EF" w:rsidRDefault="00662B95" w:rsidP="00662B95">
      <w:pPr>
        <w:shd w:val="clear" w:color="auto" w:fill="FFFFFF"/>
        <w:spacing w:after="150" w:line="300" w:lineRule="atLeast"/>
        <w:rPr>
          <w:rFonts w:eastAsia="Times New Roman" w:cs="Arial"/>
          <w:color w:val="333333"/>
          <w:sz w:val="20"/>
          <w:szCs w:val="20"/>
        </w:rPr>
      </w:pPr>
      <w:r w:rsidRPr="008A32EF">
        <w:rPr>
          <w:rFonts w:eastAsia="Times New Roman" w:cs="Arial"/>
          <w:color w:val="333333"/>
          <w:sz w:val="20"/>
          <w:szCs w:val="20"/>
        </w:rPr>
        <w:t> </w:t>
      </w:r>
    </w:p>
    <w:p w:rsidR="00662B95" w:rsidRPr="008A32EF" w:rsidRDefault="008A32EF" w:rsidP="000D12E6">
      <w:pPr>
        <w:shd w:val="clear" w:color="auto" w:fill="FFFFFF"/>
        <w:spacing w:after="160" w:line="300" w:lineRule="atLeast"/>
        <w:rPr>
          <w:rFonts w:eastAsia="Times New Roman" w:cs="Arial"/>
          <w:color w:val="333333"/>
          <w:sz w:val="20"/>
          <w:szCs w:val="20"/>
        </w:rPr>
      </w:pPr>
      <w:r w:rsidRPr="008A32EF">
        <w:rPr>
          <w:rFonts w:eastAsia="Times New Roman" w:cs="Arial"/>
          <w:i/>
          <w:iCs/>
          <w:color w:val="333333"/>
          <w:sz w:val="20"/>
          <w:szCs w:val="20"/>
          <w:lang w:val="es-ES_tradnl"/>
        </w:rPr>
        <w:t>Los siguientes códigos están vigentes desde el 16.sep.2014</w:t>
      </w:r>
    </w:p>
    <w:p w:rsidR="00662B95" w:rsidRPr="008A32EF" w:rsidRDefault="00662B95" w:rsidP="00662B95">
      <w:pPr>
        <w:shd w:val="clear" w:color="auto" w:fill="FFFFFF"/>
        <w:spacing w:line="300" w:lineRule="atLeast"/>
        <w:rPr>
          <w:rFonts w:eastAsia="Times New Roman" w:cs="Arial"/>
          <w:color w:val="333333"/>
          <w:sz w:val="20"/>
          <w:szCs w:val="20"/>
        </w:rPr>
      </w:pPr>
      <w:r w:rsidRPr="008A32EF">
        <w:rPr>
          <w:rFonts w:eastAsia="Times New Roman" w:cs="Arial"/>
          <w:color w:val="333333"/>
          <w:sz w:val="20"/>
          <w:szCs w:val="20"/>
        </w:rPr>
        <w:t> </w:t>
      </w:r>
    </w:p>
    <w:tbl>
      <w:tblPr>
        <w:tblW w:w="0" w:type="auto"/>
        <w:jc w:val="center"/>
        <w:tblCellSpacing w:w="37" w:type="dxa"/>
        <w:tblBorders>
          <w:top w:val="single" w:sz="6" w:space="0" w:color="FFFFFF"/>
          <w:left w:val="single" w:sz="6" w:space="0" w:color="FFFFFF"/>
          <w:bottom w:val="single" w:sz="6" w:space="0" w:color="FFFFFF"/>
          <w:right w:val="single" w:sz="6" w:space="0" w:color="FFFFFF"/>
        </w:tblBorders>
        <w:tblLayout w:type="fixed"/>
        <w:tblCellMar>
          <w:top w:w="75" w:type="dxa"/>
          <w:left w:w="75" w:type="dxa"/>
          <w:bottom w:w="75" w:type="dxa"/>
          <w:right w:w="75" w:type="dxa"/>
        </w:tblCellMar>
        <w:tblLook w:val="04A0"/>
      </w:tblPr>
      <w:tblGrid>
        <w:gridCol w:w="1500"/>
        <w:gridCol w:w="3540"/>
        <w:gridCol w:w="1450"/>
        <w:gridCol w:w="1523"/>
      </w:tblGrid>
      <w:tr w:rsidR="00662B95" w:rsidRPr="008A32EF" w:rsidTr="00343E87">
        <w:trPr>
          <w:trHeight w:val="570"/>
          <w:tblCellSpacing w:w="37" w:type="dxa"/>
          <w:jc w:val="center"/>
        </w:trPr>
        <w:tc>
          <w:tcPr>
            <w:tcW w:w="1389" w:type="dxa"/>
            <w:tcBorders>
              <w:top w:val="nil"/>
              <w:left w:val="single" w:sz="6" w:space="0" w:color="FFFFFF"/>
            </w:tcBorders>
            <w:shd w:val="clear" w:color="auto" w:fill="F7F7F7"/>
            <w:tcMar>
              <w:top w:w="120" w:type="dxa"/>
              <w:left w:w="120" w:type="dxa"/>
              <w:bottom w:w="120" w:type="dxa"/>
              <w:right w:w="120" w:type="dxa"/>
            </w:tcMar>
            <w:hideMark/>
          </w:tcPr>
          <w:p w:rsidR="00662B95" w:rsidRPr="008A32EF" w:rsidRDefault="008A32EF" w:rsidP="000D12E6">
            <w:pPr>
              <w:spacing w:after="0" w:line="300" w:lineRule="atLeast"/>
              <w:jc w:val="center"/>
              <w:rPr>
                <w:rFonts w:eastAsia="Times New Roman" w:cs="Times New Roman"/>
                <w:sz w:val="24"/>
                <w:szCs w:val="24"/>
              </w:rPr>
            </w:pPr>
            <w:r w:rsidRPr="008A32EF">
              <w:rPr>
                <w:rFonts w:eastAsia="Times New Roman" w:cs="Times New Roman"/>
                <w:sz w:val="24"/>
                <w:szCs w:val="24"/>
                <w:lang w:val="es-ES_tradnl"/>
              </w:rPr>
              <w:t>CÓDIGO</w:t>
            </w:r>
          </w:p>
        </w:tc>
        <w:tc>
          <w:tcPr>
            <w:tcW w:w="3466" w:type="dxa"/>
            <w:tcBorders>
              <w:top w:val="nil"/>
              <w:left w:val="single" w:sz="6" w:space="0" w:color="FFFFFF"/>
            </w:tcBorders>
            <w:shd w:val="clear" w:color="auto" w:fill="F7F7F7"/>
            <w:tcMar>
              <w:top w:w="120" w:type="dxa"/>
              <w:left w:w="120" w:type="dxa"/>
              <w:bottom w:w="120" w:type="dxa"/>
              <w:right w:w="120" w:type="dxa"/>
            </w:tcMar>
            <w:hideMark/>
          </w:tcPr>
          <w:p w:rsidR="00662B95" w:rsidRPr="008A32EF" w:rsidRDefault="008A32EF" w:rsidP="000D12E6">
            <w:pPr>
              <w:spacing w:after="0" w:line="300" w:lineRule="atLeast"/>
              <w:jc w:val="center"/>
              <w:rPr>
                <w:rFonts w:eastAsia="Times New Roman" w:cs="Times New Roman"/>
                <w:sz w:val="24"/>
                <w:szCs w:val="24"/>
              </w:rPr>
            </w:pPr>
            <w:r w:rsidRPr="008A32EF">
              <w:rPr>
                <w:rFonts w:eastAsia="Times New Roman" w:cs="Times New Roman"/>
                <w:sz w:val="24"/>
                <w:szCs w:val="24"/>
                <w:lang w:val="es-ES_tradnl"/>
              </w:rPr>
              <w:t>INFRACCIÓN</w:t>
            </w:r>
          </w:p>
        </w:tc>
        <w:tc>
          <w:tcPr>
            <w:tcW w:w="1376" w:type="dxa"/>
            <w:tcBorders>
              <w:top w:val="nil"/>
              <w:left w:val="single" w:sz="6" w:space="0" w:color="FFFFFF"/>
            </w:tcBorders>
            <w:shd w:val="clear" w:color="auto" w:fill="F7F7F7"/>
            <w:tcMar>
              <w:top w:w="120" w:type="dxa"/>
              <w:left w:w="120" w:type="dxa"/>
              <w:bottom w:w="120" w:type="dxa"/>
              <w:right w:w="120" w:type="dxa"/>
            </w:tcMar>
            <w:hideMark/>
          </w:tcPr>
          <w:p w:rsidR="00662B95" w:rsidRPr="008A32EF" w:rsidRDefault="008A32EF" w:rsidP="000D12E6">
            <w:pPr>
              <w:spacing w:after="0" w:line="300" w:lineRule="atLeast"/>
              <w:jc w:val="center"/>
              <w:rPr>
                <w:rFonts w:eastAsia="Times New Roman" w:cs="Times New Roman"/>
                <w:sz w:val="24"/>
                <w:szCs w:val="24"/>
              </w:rPr>
            </w:pPr>
            <w:r w:rsidRPr="008A32EF">
              <w:rPr>
                <w:rFonts w:eastAsia="Times New Roman" w:cs="Times New Roman"/>
                <w:sz w:val="24"/>
                <w:szCs w:val="24"/>
                <w:lang w:val="es-ES_tradnl"/>
              </w:rPr>
              <w:t>MULTA ACTUAL</w:t>
            </w:r>
          </w:p>
        </w:tc>
        <w:tc>
          <w:tcPr>
            <w:tcW w:w="1412" w:type="dxa"/>
            <w:tcBorders>
              <w:top w:val="nil"/>
              <w:left w:val="single" w:sz="6" w:space="0" w:color="FFFFFF"/>
            </w:tcBorders>
            <w:shd w:val="clear" w:color="auto" w:fill="F7F7F7"/>
            <w:tcMar>
              <w:top w:w="120" w:type="dxa"/>
              <w:left w:w="120" w:type="dxa"/>
              <w:bottom w:w="120" w:type="dxa"/>
              <w:right w:w="120" w:type="dxa"/>
            </w:tcMar>
            <w:hideMark/>
          </w:tcPr>
          <w:p w:rsidR="00662B95" w:rsidRPr="008A32EF" w:rsidRDefault="008A32EF" w:rsidP="000D12E6">
            <w:pPr>
              <w:spacing w:after="0" w:line="300" w:lineRule="atLeast"/>
              <w:jc w:val="center"/>
              <w:rPr>
                <w:rFonts w:eastAsia="Times New Roman" w:cs="Times New Roman"/>
                <w:sz w:val="24"/>
                <w:szCs w:val="24"/>
              </w:rPr>
            </w:pPr>
            <w:r w:rsidRPr="008A32EF">
              <w:rPr>
                <w:rFonts w:eastAsia="Times New Roman" w:cs="Times New Roman"/>
                <w:sz w:val="24"/>
                <w:szCs w:val="24"/>
                <w:lang w:val="es-ES_tradnl"/>
              </w:rPr>
              <w:t>DESPUÉS DE 30 DÍAS</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0D12E6">
            <w:pPr>
              <w:spacing w:after="0" w:line="300" w:lineRule="atLeast"/>
              <w:rPr>
                <w:rFonts w:eastAsia="Times New Roman" w:cs="Times New Roman"/>
                <w:noProof/>
                <w:sz w:val="24"/>
                <w:szCs w:val="24"/>
              </w:rPr>
            </w:pPr>
            <w:r w:rsidRPr="008A32EF">
              <w:rPr>
                <w:rFonts w:eastAsia="Times New Roman" w:cs="Times New Roman"/>
                <w:noProof/>
                <w:sz w:val="24"/>
                <w:szCs w:val="24"/>
              </w:rPr>
              <w:t>APK-1</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D12E6">
            <w:pPr>
              <w:spacing w:after="0" w:line="300" w:lineRule="atLeast"/>
              <w:rPr>
                <w:rFonts w:eastAsia="Times New Roman" w:cs="Times New Roman"/>
                <w:sz w:val="24"/>
                <w:szCs w:val="24"/>
              </w:rPr>
            </w:pPr>
            <w:r w:rsidRPr="008A32EF">
              <w:rPr>
                <w:rFonts w:eastAsia="Times New Roman" w:cs="Times New Roman"/>
                <w:sz w:val="24"/>
                <w:szCs w:val="24"/>
                <w:lang w:val="es-ES_tradnl"/>
              </w:rPr>
              <w:t>Parquímetro vencido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FC672B">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por más tiempo que el autorizado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APK-4</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el lado equivocado de la calle</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APK-5</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la calle por más de 24 horas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APK-6</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FC672B">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vehículo no comercial en zona para camiones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APK-7</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96345A">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para autobuses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$75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APK-8</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reservada</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$75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APK-9</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carril para bomberos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lastRenderedPageBreak/>
              <w:t>APK-10</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FC672B">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de “Emergencia, prohibido estacionar”</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APK-11</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bloqueando camino de acceso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APK-12</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a menos de 15 pies de un hidrante</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$105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$155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APK-13</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B00B6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acera o bloqueándola</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APK-14</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a menos de 20 pies de una intersección de cruce de peatones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APK-15</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a menos de 50 pies de cruce ferroviario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APK-16</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de acarreo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$70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$105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APK-17</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No estacionar en ningún momento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APK-18</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de escuela</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APK-19</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Otras infracciones de estacionamiento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APK-20</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56887">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a más de 18” del bordillo derecho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APK-21</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03739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para discapacitados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$500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$600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APK-22</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FC672B">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vehículo comercial entre las 2 a.m. y las 6 p.m.</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APK-23</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1A310C">
            <w:pPr>
              <w:spacing w:after="0" w:line="300" w:lineRule="atLeast"/>
              <w:rPr>
                <w:rFonts w:eastAsia="Times New Roman" w:cs="Times New Roman"/>
                <w:sz w:val="24"/>
                <w:szCs w:val="24"/>
              </w:rPr>
            </w:pPr>
            <w:r w:rsidRPr="008A32EF">
              <w:rPr>
                <w:rFonts w:eastAsia="Times New Roman" w:cs="Times New Roman"/>
                <w:sz w:val="24"/>
                <w:szCs w:val="24"/>
                <w:lang w:val="es-ES_tradnl"/>
              </w:rPr>
              <w:t xml:space="preserve">Estacionar vehículo grande en </w:t>
            </w:r>
            <w:r w:rsidRPr="008A32EF">
              <w:rPr>
                <w:rFonts w:eastAsia="Times New Roman" w:cs="Times New Roman"/>
                <w:sz w:val="24"/>
                <w:szCs w:val="24"/>
                <w:lang w:val="es-ES_tradnl"/>
              </w:rPr>
              <w:lastRenderedPageBreak/>
              <w:t>barrio residencial</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lastRenderedPageBreak/>
              <w:t>$60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lastRenderedPageBreak/>
              <w:t>APK-24</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EC3DE6">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reservada para bomberos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$130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$180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APK-25</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59206C">
            <w:pPr>
              <w:spacing w:after="0" w:line="300" w:lineRule="atLeast"/>
              <w:rPr>
                <w:rFonts w:eastAsia="Times New Roman" w:cs="Times New Roman"/>
                <w:sz w:val="24"/>
                <w:szCs w:val="24"/>
              </w:rPr>
            </w:pPr>
            <w:r w:rsidRPr="008A32EF">
              <w:rPr>
                <w:rFonts w:eastAsia="Times New Roman" w:cs="Times New Roman"/>
                <w:sz w:val="24"/>
                <w:szCs w:val="24"/>
                <w:lang w:val="es-ES_tradnl"/>
              </w:rPr>
              <w:t>Otras infracciones de estacionamiento según el Código de Incendios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APK-26</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59206C">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remolque/semirremolque en la calle por más de 2 horas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APK-27</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59206C">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sobre césped de parque en sitio prohibido por señalización</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$80</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APK-28</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EC3DE6">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obstruyendo calle</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APK-29</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EC3DE6">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doble fila</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$65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APK-36</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59206C">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vehículos no comerciales en zona de carga/descarga de vehículos comerciales durante las horas de operación indicadas</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$255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$355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APK-38</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59206C">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de carga/descarga de vehículos comerciales sin exhibir permiso de vehículo comercial vigente/válido o sin pagar la tarifa de estacionamiento medido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$405</w:t>
            </w:r>
          </w:p>
        </w:tc>
      </w:tr>
      <w:tr w:rsidR="00662B95" w:rsidRPr="008A32EF" w:rsidTr="00343E87">
        <w:trPr>
          <w:trHeight w:val="375"/>
          <w:tblCellSpacing w:w="37" w:type="dxa"/>
          <w:jc w:val="center"/>
        </w:trPr>
        <w:tc>
          <w:tcPr>
            <w:tcW w:w="1389"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rPr>
                <w:rFonts w:eastAsia="Times New Roman" w:cs="Times New Roman"/>
                <w:noProof/>
                <w:sz w:val="24"/>
                <w:szCs w:val="24"/>
              </w:rPr>
            </w:pPr>
            <w:r w:rsidRPr="008A32EF">
              <w:rPr>
                <w:rFonts w:eastAsia="Times New Roman" w:cs="Times New Roman"/>
                <w:noProof/>
                <w:sz w:val="24"/>
                <w:szCs w:val="24"/>
              </w:rPr>
              <w:t>APK-39</w:t>
            </w:r>
          </w:p>
        </w:tc>
        <w:tc>
          <w:tcPr>
            <w:tcW w:w="346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8A32EF" w:rsidP="00AC6E7E">
            <w:pPr>
              <w:spacing w:after="0" w:line="300" w:lineRule="atLeast"/>
              <w:rPr>
                <w:rFonts w:eastAsia="Times New Roman" w:cs="Times New Roman"/>
                <w:sz w:val="24"/>
                <w:szCs w:val="24"/>
              </w:rPr>
            </w:pPr>
            <w:r w:rsidRPr="008A32EF">
              <w:rPr>
                <w:rFonts w:eastAsia="Times New Roman" w:cs="Times New Roman"/>
                <w:sz w:val="24"/>
                <w:szCs w:val="24"/>
                <w:lang w:val="es-ES_tradnl"/>
              </w:rPr>
              <w:t>Estacionar en zona de carga/descarga de vehículos comerciales por más tiempo que el permitido</w:t>
            </w:r>
          </w:p>
        </w:tc>
        <w:tc>
          <w:tcPr>
            <w:tcW w:w="1376"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$305</w:t>
            </w:r>
          </w:p>
        </w:tc>
        <w:tc>
          <w:tcPr>
            <w:tcW w:w="1412" w:type="dxa"/>
            <w:tcBorders>
              <w:top w:val="nil"/>
              <w:left w:val="single" w:sz="6" w:space="0" w:color="FFFFFF"/>
            </w:tcBorders>
            <w:shd w:val="clear" w:color="auto" w:fill="auto"/>
            <w:tcMar>
              <w:top w:w="120" w:type="dxa"/>
              <w:left w:w="120" w:type="dxa"/>
              <w:bottom w:w="120" w:type="dxa"/>
              <w:right w:w="120" w:type="dxa"/>
            </w:tcMar>
            <w:hideMark/>
          </w:tcPr>
          <w:p w:rsidR="00662B95" w:rsidRPr="008A32EF" w:rsidRDefault="00662B95" w:rsidP="00662B95">
            <w:pPr>
              <w:spacing w:after="0" w:line="300" w:lineRule="atLeast"/>
              <w:jc w:val="center"/>
              <w:rPr>
                <w:rFonts w:eastAsia="Times New Roman" w:cs="Times New Roman"/>
                <w:sz w:val="24"/>
                <w:szCs w:val="24"/>
              </w:rPr>
            </w:pPr>
            <w:r w:rsidRPr="008A32EF">
              <w:rPr>
                <w:rFonts w:eastAsia="Times New Roman" w:cs="Times New Roman"/>
                <w:sz w:val="24"/>
                <w:szCs w:val="24"/>
              </w:rPr>
              <w:t>$405 </w:t>
            </w:r>
          </w:p>
        </w:tc>
      </w:tr>
    </w:tbl>
    <w:p w:rsidR="001C2A0B" w:rsidRPr="008A32EF" w:rsidRDefault="001C2A0B"/>
    <w:sectPr w:rsidR="001C2A0B" w:rsidRPr="008A32EF" w:rsidSect="00311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10A6"/>
    <w:multiLevelType w:val="multilevel"/>
    <w:tmpl w:val="C056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B95"/>
    <w:rsid w:val="0003739E"/>
    <w:rsid w:val="00056887"/>
    <w:rsid w:val="00083F5F"/>
    <w:rsid w:val="000D12E6"/>
    <w:rsid w:val="001A310C"/>
    <w:rsid w:val="001C2A0B"/>
    <w:rsid w:val="001F4048"/>
    <w:rsid w:val="003115A5"/>
    <w:rsid w:val="00343E87"/>
    <w:rsid w:val="0044793D"/>
    <w:rsid w:val="0059206C"/>
    <w:rsid w:val="00662B95"/>
    <w:rsid w:val="007424EB"/>
    <w:rsid w:val="00822C38"/>
    <w:rsid w:val="008A32EF"/>
    <w:rsid w:val="00915759"/>
    <w:rsid w:val="0096345A"/>
    <w:rsid w:val="009E6E1E"/>
    <w:rsid w:val="00AC6E7E"/>
    <w:rsid w:val="00B00B6E"/>
    <w:rsid w:val="00EC3DE6"/>
    <w:rsid w:val="00FC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831820">
      <w:bodyDiv w:val="1"/>
      <w:marLeft w:val="0"/>
      <w:marRight w:val="0"/>
      <w:marTop w:val="0"/>
      <w:marBottom w:val="0"/>
      <w:divBdr>
        <w:top w:val="none" w:sz="0" w:space="0" w:color="auto"/>
        <w:left w:val="none" w:sz="0" w:space="0" w:color="auto"/>
        <w:bottom w:val="none" w:sz="0" w:space="0" w:color="auto"/>
        <w:right w:val="none" w:sz="0" w:space="0" w:color="auto"/>
      </w:divBdr>
      <w:divsChild>
        <w:div w:id="611980193">
          <w:marLeft w:val="0"/>
          <w:marRight w:val="0"/>
          <w:marTop w:val="0"/>
          <w:marBottom w:val="0"/>
          <w:divBdr>
            <w:top w:val="none" w:sz="0" w:space="0" w:color="auto"/>
            <w:left w:val="none" w:sz="0" w:space="0" w:color="auto"/>
            <w:bottom w:val="none" w:sz="0" w:space="0" w:color="auto"/>
            <w:right w:val="none" w:sz="0" w:space="0" w:color="auto"/>
          </w:divBdr>
          <w:divsChild>
            <w:div w:id="276838078">
              <w:marLeft w:val="0"/>
              <w:marRight w:val="0"/>
              <w:marTop w:val="0"/>
              <w:marBottom w:val="0"/>
              <w:divBdr>
                <w:top w:val="none" w:sz="0" w:space="0" w:color="auto"/>
                <w:left w:val="none" w:sz="0" w:space="0" w:color="auto"/>
                <w:bottom w:val="none" w:sz="0" w:space="0" w:color="auto"/>
                <w:right w:val="none" w:sz="0" w:space="0" w:color="auto"/>
              </w:divBdr>
              <w:divsChild>
                <w:div w:id="2008945879">
                  <w:marLeft w:val="0"/>
                  <w:marRight w:val="0"/>
                  <w:marTop w:val="0"/>
                  <w:marBottom w:val="0"/>
                  <w:divBdr>
                    <w:top w:val="none" w:sz="0" w:space="0" w:color="auto"/>
                    <w:left w:val="none" w:sz="0" w:space="0" w:color="auto"/>
                    <w:bottom w:val="none" w:sz="0" w:space="0" w:color="auto"/>
                    <w:right w:val="none" w:sz="0" w:space="0" w:color="auto"/>
                  </w:divBdr>
                  <w:divsChild>
                    <w:div w:id="2131126583">
                      <w:marLeft w:val="0"/>
                      <w:marRight w:val="0"/>
                      <w:marTop w:val="0"/>
                      <w:marBottom w:val="450"/>
                      <w:divBdr>
                        <w:top w:val="none" w:sz="0" w:space="0" w:color="auto"/>
                        <w:left w:val="none" w:sz="0" w:space="0" w:color="auto"/>
                        <w:bottom w:val="none" w:sz="0" w:space="0" w:color="auto"/>
                        <w:right w:val="none" w:sz="0" w:space="0" w:color="auto"/>
                      </w:divBdr>
                      <w:divsChild>
                        <w:div w:id="1074427972">
                          <w:marLeft w:val="0"/>
                          <w:marRight w:val="0"/>
                          <w:marTop w:val="0"/>
                          <w:marBottom w:val="0"/>
                          <w:divBdr>
                            <w:top w:val="none" w:sz="0" w:space="0" w:color="auto"/>
                            <w:left w:val="none" w:sz="0" w:space="0" w:color="auto"/>
                            <w:bottom w:val="none" w:sz="0" w:space="0" w:color="auto"/>
                            <w:right w:val="none" w:sz="0" w:space="0" w:color="auto"/>
                          </w:divBdr>
                          <w:divsChild>
                            <w:div w:id="256716111">
                              <w:marLeft w:val="0"/>
                              <w:marRight w:val="0"/>
                              <w:marTop w:val="0"/>
                              <w:marBottom w:val="0"/>
                              <w:divBdr>
                                <w:top w:val="none" w:sz="0" w:space="0" w:color="auto"/>
                                <w:left w:val="none" w:sz="0" w:space="0" w:color="auto"/>
                                <w:bottom w:val="none" w:sz="0" w:space="0" w:color="auto"/>
                                <w:right w:val="none" w:sz="0" w:space="0" w:color="auto"/>
                              </w:divBdr>
                              <w:divsChild>
                                <w:div w:id="1722896660">
                                  <w:marLeft w:val="0"/>
                                  <w:marRight w:val="0"/>
                                  <w:marTop w:val="0"/>
                                  <w:marBottom w:val="0"/>
                                  <w:divBdr>
                                    <w:top w:val="none" w:sz="0" w:space="0" w:color="auto"/>
                                    <w:left w:val="none" w:sz="0" w:space="0" w:color="auto"/>
                                    <w:bottom w:val="none" w:sz="0" w:space="0" w:color="auto"/>
                                    <w:right w:val="none" w:sz="0" w:space="0" w:color="auto"/>
                                  </w:divBdr>
                                  <w:divsChild>
                                    <w:div w:id="6939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7205">
      <w:bodyDiv w:val="1"/>
      <w:marLeft w:val="0"/>
      <w:marRight w:val="0"/>
      <w:marTop w:val="0"/>
      <w:marBottom w:val="0"/>
      <w:divBdr>
        <w:top w:val="none" w:sz="0" w:space="0" w:color="auto"/>
        <w:left w:val="none" w:sz="0" w:space="0" w:color="auto"/>
        <w:bottom w:val="none" w:sz="0" w:space="0" w:color="auto"/>
        <w:right w:val="none" w:sz="0" w:space="0" w:color="auto"/>
      </w:divBdr>
      <w:divsChild>
        <w:div w:id="1011764336">
          <w:marLeft w:val="0"/>
          <w:marRight w:val="0"/>
          <w:marTop w:val="0"/>
          <w:marBottom w:val="0"/>
          <w:divBdr>
            <w:top w:val="none" w:sz="0" w:space="0" w:color="auto"/>
            <w:left w:val="none" w:sz="0" w:space="0" w:color="auto"/>
            <w:bottom w:val="none" w:sz="0" w:space="0" w:color="auto"/>
            <w:right w:val="none" w:sz="0" w:space="0" w:color="auto"/>
          </w:divBdr>
          <w:divsChild>
            <w:div w:id="1422993682">
              <w:marLeft w:val="0"/>
              <w:marRight w:val="0"/>
              <w:marTop w:val="0"/>
              <w:marBottom w:val="0"/>
              <w:divBdr>
                <w:top w:val="none" w:sz="0" w:space="0" w:color="auto"/>
                <w:left w:val="none" w:sz="0" w:space="0" w:color="auto"/>
                <w:bottom w:val="none" w:sz="0" w:space="0" w:color="auto"/>
                <w:right w:val="none" w:sz="0" w:space="0" w:color="auto"/>
              </w:divBdr>
              <w:divsChild>
                <w:div w:id="424227442">
                  <w:marLeft w:val="0"/>
                  <w:marRight w:val="0"/>
                  <w:marTop w:val="0"/>
                  <w:marBottom w:val="0"/>
                  <w:divBdr>
                    <w:top w:val="none" w:sz="0" w:space="0" w:color="auto"/>
                    <w:left w:val="none" w:sz="0" w:space="0" w:color="auto"/>
                    <w:bottom w:val="none" w:sz="0" w:space="0" w:color="auto"/>
                    <w:right w:val="none" w:sz="0" w:space="0" w:color="auto"/>
                  </w:divBdr>
                  <w:divsChild>
                    <w:div w:id="756292594">
                      <w:marLeft w:val="0"/>
                      <w:marRight w:val="0"/>
                      <w:marTop w:val="0"/>
                      <w:marBottom w:val="450"/>
                      <w:divBdr>
                        <w:top w:val="none" w:sz="0" w:space="0" w:color="auto"/>
                        <w:left w:val="none" w:sz="0" w:space="0" w:color="auto"/>
                        <w:bottom w:val="none" w:sz="0" w:space="0" w:color="auto"/>
                        <w:right w:val="none" w:sz="0" w:space="0" w:color="auto"/>
                      </w:divBdr>
                      <w:divsChild>
                        <w:div w:id="1765803440">
                          <w:marLeft w:val="0"/>
                          <w:marRight w:val="0"/>
                          <w:marTop w:val="0"/>
                          <w:marBottom w:val="0"/>
                          <w:divBdr>
                            <w:top w:val="none" w:sz="0" w:space="0" w:color="auto"/>
                            <w:left w:val="none" w:sz="0" w:space="0" w:color="auto"/>
                            <w:bottom w:val="none" w:sz="0" w:space="0" w:color="auto"/>
                            <w:right w:val="none" w:sz="0" w:space="0" w:color="auto"/>
                          </w:divBdr>
                          <w:divsChild>
                            <w:div w:id="614560982">
                              <w:marLeft w:val="0"/>
                              <w:marRight w:val="0"/>
                              <w:marTop w:val="0"/>
                              <w:marBottom w:val="0"/>
                              <w:divBdr>
                                <w:top w:val="none" w:sz="0" w:space="0" w:color="auto"/>
                                <w:left w:val="none" w:sz="0" w:space="0" w:color="auto"/>
                                <w:bottom w:val="none" w:sz="0" w:space="0" w:color="auto"/>
                                <w:right w:val="none" w:sz="0" w:space="0" w:color="auto"/>
                              </w:divBdr>
                              <w:divsChild>
                                <w:div w:id="298193932">
                                  <w:marLeft w:val="0"/>
                                  <w:marRight w:val="0"/>
                                  <w:marTop w:val="0"/>
                                  <w:marBottom w:val="0"/>
                                  <w:divBdr>
                                    <w:top w:val="none" w:sz="0" w:space="0" w:color="auto"/>
                                    <w:left w:val="none" w:sz="0" w:space="0" w:color="auto"/>
                                    <w:bottom w:val="none" w:sz="0" w:space="0" w:color="auto"/>
                                    <w:right w:val="none" w:sz="0" w:space="0" w:color="auto"/>
                                  </w:divBdr>
                                  <w:divsChild>
                                    <w:div w:id="86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utes.legis.state.tx.us/SOTWDocs/TN/htm/TN.54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Kostina</dc:creator>
  <cp:lastModifiedBy>ehasanova</cp:lastModifiedBy>
  <cp:revision>13</cp:revision>
  <dcterms:created xsi:type="dcterms:W3CDTF">2015-05-05T12:38:00Z</dcterms:created>
  <dcterms:modified xsi:type="dcterms:W3CDTF">2015-06-22T10:38:00Z</dcterms:modified>
</cp:coreProperties>
</file>