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31" w:rsidRPr="00C30DDB" w:rsidRDefault="009C169C" w:rsidP="00C30DDB">
      <w:pPr>
        <w:pBdr>
          <w:bottom w:val="single" w:sz="6" w:space="1" w:color="auto"/>
        </w:pBdr>
        <w:rPr>
          <w:rFonts w:ascii="Franklin Gothic Book" w:hAnsi="Franklin Gothic Book"/>
          <w:caps/>
          <w:sz w:val="56"/>
          <w:szCs w:val="56"/>
        </w:rPr>
      </w:pPr>
      <w:r w:rsidRPr="00C30DDB">
        <w:rPr>
          <w:rFonts w:ascii="Franklin Gothic Book" w:hAnsi="Franklin Gothic Book"/>
          <w:caps/>
          <w:noProof/>
          <w:sz w:val="56"/>
          <w:szCs w:val="5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seal.jpg"/>
                    <pic:cNvPicPr/>
                  </pic:nvPicPr>
                  <pic:blipFill>
                    <a:blip r:embed="rId8">
                      <a:duotone>
                        <a:schemeClr val="accent1">
                          <a:shade val="45000"/>
                          <a:satMod val="135000"/>
                        </a:schemeClr>
                        <a:prstClr val="white"/>
                      </a:duotone>
                      <a:extLst>
                        <a:ext uri="{BEBA8EAE-BF5A-486C-A8C5-ECC9F3942E4B}">
                          <a14:imgProps xmlns:a14="http://schemas.microsoft.com/office/drawing/2010/main">
                            <a14:imgLayer>
                              <a14:imgEffect>
                                <a14:colorTemperature colorTemp="6499"/>
                              </a14:imgEffect>
                              <a14:imgEffect>
                                <a14:saturation sat="106000"/>
                              </a14:imgEffect>
                            </a14:imgLayer>
                          </a14:imgProps>
                        </a:ex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rFonts w:ascii="Franklin Gothic Book" w:hAnsi="Franklin Gothic Book"/>
          <w:caps/>
          <w:noProof/>
          <w:sz w:val="56"/>
          <w:szCs w:val="56"/>
        </w:rPr>
        <w:t>Federal priorities for harvey disaster funding</w:t>
      </w:r>
    </w:p>
    <w:p w:rsidR="00445CCA" w:rsidRPr="00445CCA" w:rsidRDefault="00445CCA" w:rsidP="00841C13">
      <w:pPr>
        <w:jc w:val="both"/>
        <w:rPr>
          <w:rFonts w:ascii="Garamond" w:hAnsi="Garamond"/>
          <w:sz w:val="32"/>
          <w:szCs w:val="32"/>
        </w:rPr>
      </w:pPr>
      <w:r w:rsidRPr="00445CCA">
        <w:rPr>
          <w:rFonts w:ascii="Franklin Gothic Book" w:hAnsi="Franklin Gothic Book"/>
          <w:caps/>
          <w:noProof/>
          <w:sz w:val="32"/>
          <w:szCs w:val="32"/>
        </w:rPr>
        <w:t>City of Houston</w:t>
      </w:r>
    </w:p>
    <w:p w:rsidR="00FD1A0A" w:rsidRPr="00FD1A0A" w:rsidRDefault="009C169C" w:rsidP="00841C13">
      <w:pPr>
        <w:jc w:val="both"/>
        <w:rPr>
          <w:rFonts w:ascii="Garamond" w:hAnsi="Garamond"/>
          <w:sz w:val="28"/>
          <w:szCs w:val="28"/>
        </w:rPr>
      </w:pPr>
      <w:bookmarkStart w:id="0" w:name="_GoBack"/>
      <w:bookmarkEnd w:id="0"/>
      <w:r>
        <w:rPr>
          <w:rFonts w:ascii="Garamond" w:hAnsi="Garamond"/>
          <w:sz w:val="28"/>
          <w:szCs w:val="28"/>
        </w:rPr>
        <w:t xml:space="preserve">In response to Hurricane Harvey (DR – 4332-TX), the City of Houston is advocating for the following measures to help Houstonians in their recovery: </w:t>
      </w:r>
    </w:p>
    <w:p w:rsidR="00172834" w:rsidRDefault="00172834" w:rsidP="00172834">
      <w:pPr>
        <w:jc w:val="both"/>
        <w:rPr>
          <w:rFonts w:ascii="Garamond" w:hAnsi="Garamond"/>
          <w:sz w:val="28"/>
          <w:szCs w:val="28"/>
        </w:rPr>
      </w:pPr>
      <w:r w:rsidRPr="00392319">
        <w:rPr>
          <w:rFonts w:ascii="Garamond" w:hAnsi="Garamond"/>
          <w:sz w:val="28"/>
          <w:szCs w:val="28"/>
          <w:u w:val="single"/>
        </w:rPr>
        <w:t>Resiliency Efforts</w:t>
      </w:r>
      <w:r w:rsidRPr="00392319">
        <w:rPr>
          <w:rFonts w:ascii="Garamond" w:hAnsi="Garamond"/>
          <w:sz w:val="28"/>
          <w:szCs w:val="28"/>
        </w:rPr>
        <w:t xml:space="preserve"> </w:t>
      </w:r>
      <w:proofErr w:type="gramStart"/>
      <w:r>
        <w:rPr>
          <w:rFonts w:ascii="Garamond" w:hAnsi="Garamond"/>
          <w:sz w:val="28"/>
          <w:szCs w:val="28"/>
        </w:rPr>
        <w:t>As</w:t>
      </w:r>
      <w:proofErr w:type="gramEnd"/>
      <w:r>
        <w:rPr>
          <w:rFonts w:ascii="Garamond" w:hAnsi="Garamond"/>
          <w:sz w:val="28"/>
          <w:szCs w:val="28"/>
        </w:rPr>
        <w:t xml:space="preserve"> the City looks to rebuild, we must fund projects to make sure the risk for future flooding is mitigated. With our partners at the Army Corps of Engineers and Harris County Flood Control District, the following projects are critical to protecting Houstonians against future losses of life and property and should receive priority funding from the Corps:</w:t>
      </w:r>
    </w:p>
    <w:p w:rsidR="00172834" w:rsidRPr="00012BC2" w:rsidRDefault="00172834" w:rsidP="00172834">
      <w:pPr>
        <w:pStyle w:val="ListParagraph"/>
        <w:numPr>
          <w:ilvl w:val="0"/>
          <w:numId w:val="1"/>
        </w:numPr>
        <w:rPr>
          <w:rFonts w:ascii="Garamond" w:hAnsi="Garamond"/>
          <w:sz w:val="28"/>
          <w:szCs w:val="28"/>
        </w:rPr>
      </w:pPr>
      <w:r w:rsidRPr="00012BC2">
        <w:rPr>
          <w:rFonts w:ascii="Garamond" w:hAnsi="Garamond"/>
          <w:sz w:val="28"/>
          <w:szCs w:val="28"/>
        </w:rPr>
        <w:t>Completion of 6 federally approved bayou projects</w:t>
      </w:r>
    </w:p>
    <w:p w:rsidR="00172834" w:rsidRDefault="00172834" w:rsidP="00172834">
      <w:pPr>
        <w:pStyle w:val="ListParagraph"/>
        <w:numPr>
          <w:ilvl w:val="0"/>
          <w:numId w:val="1"/>
        </w:numPr>
        <w:jc w:val="both"/>
        <w:rPr>
          <w:rFonts w:ascii="Garamond" w:hAnsi="Garamond"/>
          <w:sz w:val="28"/>
          <w:szCs w:val="28"/>
        </w:rPr>
      </w:pPr>
      <w:r>
        <w:rPr>
          <w:rFonts w:ascii="Garamond" w:hAnsi="Garamond"/>
          <w:sz w:val="28"/>
          <w:szCs w:val="28"/>
        </w:rPr>
        <w:t xml:space="preserve">Reinforcement of the Addicks &amp; Barker Reservoirs and construction of a third reservoir </w:t>
      </w:r>
    </w:p>
    <w:p w:rsidR="00172834" w:rsidRPr="00012BC2" w:rsidRDefault="00172834" w:rsidP="00172834">
      <w:pPr>
        <w:pStyle w:val="ListParagraph"/>
        <w:numPr>
          <w:ilvl w:val="0"/>
          <w:numId w:val="1"/>
        </w:numPr>
        <w:rPr>
          <w:rFonts w:ascii="Garamond" w:hAnsi="Garamond"/>
          <w:sz w:val="28"/>
          <w:szCs w:val="28"/>
        </w:rPr>
      </w:pPr>
      <w:r w:rsidRPr="00012BC2">
        <w:rPr>
          <w:rFonts w:ascii="Garamond" w:hAnsi="Garamond"/>
          <w:sz w:val="28"/>
          <w:szCs w:val="28"/>
        </w:rPr>
        <w:t>Funding for the creation of a Coast Spine</w:t>
      </w:r>
    </w:p>
    <w:p w:rsidR="00172834" w:rsidRDefault="00172834" w:rsidP="00172834">
      <w:pPr>
        <w:pStyle w:val="ListParagraph"/>
        <w:numPr>
          <w:ilvl w:val="0"/>
          <w:numId w:val="1"/>
        </w:numPr>
        <w:jc w:val="both"/>
        <w:rPr>
          <w:rFonts w:ascii="Garamond" w:hAnsi="Garamond"/>
          <w:sz w:val="28"/>
          <w:szCs w:val="28"/>
        </w:rPr>
      </w:pPr>
      <w:r>
        <w:rPr>
          <w:rFonts w:ascii="Garamond" w:hAnsi="Garamond"/>
          <w:sz w:val="28"/>
          <w:szCs w:val="28"/>
        </w:rPr>
        <w:t>Funding for detention basins within the City of Houston</w:t>
      </w:r>
    </w:p>
    <w:p w:rsidR="006B01B8" w:rsidRPr="006B01B8" w:rsidRDefault="006B01B8" w:rsidP="006B01B8">
      <w:pPr>
        <w:jc w:val="both"/>
        <w:rPr>
          <w:rFonts w:ascii="Garamond" w:hAnsi="Garamond"/>
          <w:sz w:val="28"/>
          <w:szCs w:val="28"/>
        </w:rPr>
      </w:pPr>
      <w:r w:rsidRPr="006B01B8">
        <w:rPr>
          <w:rFonts w:ascii="Garamond" w:hAnsi="Garamond"/>
          <w:sz w:val="28"/>
          <w:szCs w:val="28"/>
          <w:u w:val="single"/>
        </w:rPr>
        <w:t>Community Disaster Loans Program (CDL) &amp; Waiver</w:t>
      </w:r>
      <w:r w:rsidRPr="006B01B8">
        <w:rPr>
          <w:rFonts w:ascii="Garamond" w:hAnsi="Garamond"/>
          <w:sz w:val="28"/>
          <w:szCs w:val="28"/>
        </w:rPr>
        <w:t xml:space="preserve"> </w:t>
      </w:r>
      <w:proofErr w:type="gramStart"/>
      <w:r w:rsidRPr="006B01B8">
        <w:rPr>
          <w:rFonts w:ascii="Garamond" w:hAnsi="Garamond"/>
          <w:sz w:val="28"/>
          <w:szCs w:val="28"/>
        </w:rPr>
        <w:t>The</w:t>
      </w:r>
      <w:proofErr w:type="gramEnd"/>
      <w:r w:rsidRPr="006B01B8">
        <w:rPr>
          <w:rFonts w:ascii="Garamond" w:hAnsi="Garamond"/>
          <w:sz w:val="28"/>
          <w:szCs w:val="28"/>
        </w:rPr>
        <w:t xml:space="preserve"> CDL Program provides operational funding to help local governments that have incurred a significant loss in revenue, due to a major disaster, not to exceed 25 percent of the local government's annual operating budget up to a maximum of $5 million. Houston would ask that the cap be lifted as it has been in other disaster declarations.</w:t>
      </w:r>
    </w:p>
    <w:p w:rsidR="008D05AF" w:rsidRPr="001823B1" w:rsidRDefault="009C169C" w:rsidP="001823B1">
      <w:pPr>
        <w:jc w:val="both"/>
        <w:rPr>
          <w:rFonts w:ascii="Garamond" w:hAnsi="Garamond"/>
          <w:sz w:val="28"/>
          <w:szCs w:val="28"/>
        </w:rPr>
      </w:pPr>
      <w:r w:rsidRPr="0056468C">
        <w:rPr>
          <w:rFonts w:ascii="Garamond" w:hAnsi="Garamond"/>
          <w:sz w:val="28"/>
          <w:szCs w:val="28"/>
          <w:u w:val="single"/>
        </w:rPr>
        <w:t xml:space="preserve">NEPA </w:t>
      </w:r>
      <w:r w:rsidRPr="0074096D">
        <w:rPr>
          <w:rFonts w:ascii="Garamond" w:hAnsi="Garamond"/>
          <w:sz w:val="28"/>
          <w:szCs w:val="28"/>
          <w:u w:val="single"/>
        </w:rPr>
        <w:t>Waiver</w:t>
      </w:r>
      <w:r>
        <w:rPr>
          <w:rFonts w:ascii="Garamond" w:hAnsi="Garamond"/>
          <w:sz w:val="28"/>
          <w:szCs w:val="28"/>
        </w:rPr>
        <w:t xml:space="preserve"> </w:t>
      </w:r>
      <w:proofErr w:type="gramStart"/>
      <w:r w:rsidRPr="0074096D">
        <w:rPr>
          <w:rFonts w:ascii="Garamond" w:hAnsi="Garamond"/>
          <w:sz w:val="28"/>
          <w:szCs w:val="28"/>
        </w:rPr>
        <w:t>In</w:t>
      </w:r>
      <w:r>
        <w:rPr>
          <w:rFonts w:ascii="Garamond" w:hAnsi="Garamond"/>
          <w:sz w:val="28"/>
          <w:szCs w:val="28"/>
        </w:rPr>
        <w:t xml:space="preserve"> order to</w:t>
      </w:r>
      <w:proofErr w:type="gramEnd"/>
      <w:r>
        <w:rPr>
          <w:rFonts w:ascii="Garamond" w:hAnsi="Garamond"/>
          <w:sz w:val="28"/>
          <w:szCs w:val="28"/>
        </w:rPr>
        <w:t xml:space="preserve"> speed recovery efforts, the City is looking for an exemption from the National Environmental Policy Act (NEPA) and National Historic Preservation Act (NHPA) for the rehabilitation or reconstruction of single family housing located outside a special flood hazard area.  This will cut the time Houstonians wait to recover with a targeted waiver.</w:t>
      </w:r>
    </w:p>
    <w:p w:rsidR="00375D75" w:rsidRPr="0096727A" w:rsidRDefault="002F3DCF" w:rsidP="008D05AF">
      <w:pPr>
        <w:pStyle w:val="ListParagraph"/>
        <w:ind w:left="0"/>
        <w:jc w:val="both"/>
        <w:rPr>
          <w:rFonts w:ascii="Garamond" w:hAnsi="Garamond"/>
          <w:sz w:val="28"/>
          <w:szCs w:val="28"/>
        </w:rPr>
      </w:pPr>
      <w:r w:rsidRPr="002F3DCF">
        <w:rPr>
          <w:rFonts w:ascii="Garamond" w:hAnsi="Garamond"/>
          <w:sz w:val="28"/>
          <w:szCs w:val="28"/>
          <w:u w:val="single"/>
        </w:rPr>
        <w:t>Grants and Tax Incentives</w:t>
      </w:r>
      <w:r w:rsidRPr="002F3DCF">
        <w:rPr>
          <w:rFonts w:ascii="Garamond" w:hAnsi="Garamond"/>
          <w:sz w:val="28"/>
          <w:szCs w:val="28"/>
        </w:rPr>
        <w:t xml:space="preserve"> </w:t>
      </w:r>
      <w:r w:rsidR="009C169C" w:rsidRPr="002F3DCF">
        <w:rPr>
          <w:rFonts w:ascii="Garamond" w:hAnsi="Garamond"/>
          <w:sz w:val="28"/>
          <w:szCs w:val="28"/>
        </w:rPr>
        <w:t>Economic Development Administration (EDA)</w:t>
      </w:r>
      <w:r>
        <w:rPr>
          <w:rFonts w:ascii="Garamond" w:hAnsi="Garamond"/>
          <w:sz w:val="28"/>
          <w:szCs w:val="28"/>
        </w:rPr>
        <w:t xml:space="preserve"> </w:t>
      </w:r>
      <w:r w:rsidR="009C169C">
        <w:rPr>
          <w:rFonts w:ascii="Garamond" w:hAnsi="Garamond"/>
          <w:sz w:val="28"/>
          <w:szCs w:val="28"/>
        </w:rPr>
        <w:t>grants and tax incentives</w:t>
      </w:r>
      <w:r w:rsidR="009C169C" w:rsidRPr="0096727A">
        <w:rPr>
          <w:rFonts w:ascii="Garamond" w:hAnsi="Garamond"/>
          <w:sz w:val="28"/>
          <w:szCs w:val="28"/>
        </w:rPr>
        <w:t xml:space="preserve"> can be a catalyst for private investment in areas impacted by Hurricane Harvey and </w:t>
      </w:r>
      <w:proofErr w:type="gramStart"/>
      <w:r w:rsidR="009C169C" w:rsidRPr="0096727A">
        <w:rPr>
          <w:rFonts w:ascii="Garamond" w:hAnsi="Garamond"/>
          <w:sz w:val="28"/>
          <w:szCs w:val="28"/>
        </w:rPr>
        <w:t>in particular low-income</w:t>
      </w:r>
      <w:proofErr w:type="gramEnd"/>
      <w:r w:rsidR="009C169C" w:rsidRPr="0096727A">
        <w:rPr>
          <w:rFonts w:ascii="Garamond" w:hAnsi="Garamond"/>
          <w:sz w:val="28"/>
          <w:szCs w:val="28"/>
        </w:rPr>
        <w:t xml:space="preserve"> areas.  EDA grants fund </w:t>
      </w:r>
      <w:r w:rsidR="009C169C">
        <w:rPr>
          <w:rFonts w:ascii="Garamond" w:hAnsi="Garamond"/>
          <w:sz w:val="28"/>
          <w:szCs w:val="28"/>
        </w:rPr>
        <w:t xml:space="preserve">a wide range of projects, including business parks, technology incubators and supporting infrastructure </w:t>
      </w:r>
      <w:proofErr w:type="gramStart"/>
      <w:r w:rsidR="009C169C">
        <w:rPr>
          <w:rFonts w:ascii="Garamond" w:hAnsi="Garamond"/>
          <w:sz w:val="28"/>
          <w:szCs w:val="28"/>
        </w:rPr>
        <w:t>an</w:t>
      </w:r>
      <w:proofErr w:type="gramEnd"/>
      <w:r w:rsidR="009C169C">
        <w:rPr>
          <w:rFonts w:ascii="Garamond" w:hAnsi="Garamond"/>
          <w:sz w:val="28"/>
          <w:szCs w:val="28"/>
        </w:rPr>
        <w:t xml:space="preserve"> </w:t>
      </w:r>
      <w:r w:rsidR="009C169C">
        <w:rPr>
          <w:rFonts w:ascii="Garamond" w:hAnsi="Garamond"/>
          <w:sz w:val="28"/>
          <w:szCs w:val="28"/>
        </w:rPr>
        <w:lastRenderedPageBreak/>
        <w:t>utilities</w:t>
      </w:r>
      <w:r w:rsidR="009C169C" w:rsidRPr="0096727A">
        <w:rPr>
          <w:rFonts w:ascii="Garamond" w:hAnsi="Garamond"/>
          <w:sz w:val="28"/>
          <w:szCs w:val="28"/>
        </w:rPr>
        <w:t xml:space="preserve">. Tax incentives, including New Market Tax Credits and tax credit bonds </w:t>
      </w:r>
      <w:r w:rsidR="009C169C">
        <w:rPr>
          <w:rFonts w:ascii="Garamond" w:hAnsi="Garamond"/>
          <w:sz w:val="28"/>
          <w:szCs w:val="28"/>
        </w:rPr>
        <w:t>are critical to incentivizing</w:t>
      </w:r>
      <w:r w:rsidR="009C169C" w:rsidRPr="0096727A">
        <w:rPr>
          <w:rFonts w:ascii="Garamond" w:hAnsi="Garamond"/>
          <w:sz w:val="28"/>
          <w:szCs w:val="28"/>
        </w:rPr>
        <w:t xml:space="preserve"> private investment</w:t>
      </w:r>
      <w:r w:rsidR="009C169C">
        <w:rPr>
          <w:rFonts w:ascii="Garamond" w:hAnsi="Garamond"/>
          <w:sz w:val="28"/>
          <w:szCs w:val="28"/>
        </w:rPr>
        <w:t xml:space="preserve"> and can fund housing, commercial and retail buildings</w:t>
      </w:r>
      <w:r w:rsidR="009C169C" w:rsidRPr="0096727A">
        <w:rPr>
          <w:rFonts w:ascii="Garamond" w:hAnsi="Garamond"/>
          <w:sz w:val="28"/>
          <w:szCs w:val="28"/>
        </w:rPr>
        <w:t>.  The City urges Congress to make the following funding available</w:t>
      </w:r>
      <w:r w:rsidR="009C169C">
        <w:rPr>
          <w:rFonts w:ascii="Garamond" w:hAnsi="Garamond"/>
          <w:sz w:val="28"/>
          <w:szCs w:val="28"/>
        </w:rPr>
        <w:t xml:space="preserve"> to incentivize private investment in the impacted parts of the City</w:t>
      </w:r>
      <w:r w:rsidR="009C169C" w:rsidRPr="0096727A">
        <w:rPr>
          <w:rFonts w:ascii="Garamond" w:hAnsi="Garamond"/>
          <w:sz w:val="28"/>
          <w:szCs w:val="28"/>
        </w:rPr>
        <w:t>:</w:t>
      </w:r>
    </w:p>
    <w:p w:rsidR="00375D75" w:rsidRPr="0096727A" w:rsidRDefault="00DD4F44" w:rsidP="008D05AF">
      <w:pPr>
        <w:pStyle w:val="ListParagraph"/>
        <w:ind w:left="0"/>
        <w:jc w:val="both"/>
        <w:rPr>
          <w:rFonts w:ascii="Garamond" w:hAnsi="Garamond"/>
          <w:sz w:val="28"/>
          <w:szCs w:val="28"/>
        </w:rPr>
      </w:pPr>
    </w:p>
    <w:p w:rsidR="00637AF6" w:rsidRPr="0096727A" w:rsidRDefault="009C169C" w:rsidP="002F3DCF">
      <w:pPr>
        <w:pStyle w:val="ListParagraph"/>
        <w:numPr>
          <w:ilvl w:val="0"/>
          <w:numId w:val="1"/>
        </w:numPr>
        <w:jc w:val="both"/>
        <w:rPr>
          <w:rFonts w:ascii="Garamond" w:hAnsi="Garamond"/>
          <w:sz w:val="28"/>
          <w:szCs w:val="28"/>
        </w:rPr>
      </w:pPr>
      <w:r>
        <w:rPr>
          <w:rFonts w:ascii="Garamond" w:hAnsi="Garamond"/>
          <w:sz w:val="28"/>
          <w:szCs w:val="28"/>
        </w:rPr>
        <w:t xml:space="preserve">$300 million for </w:t>
      </w:r>
      <w:r w:rsidRPr="0096727A">
        <w:rPr>
          <w:rFonts w:ascii="Garamond" w:hAnsi="Garamond"/>
          <w:sz w:val="28"/>
          <w:szCs w:val="28"/>
        </w:rPr>
        <w:t xml:space="preserve">EDA grants for areas affected by Hurricane Harvey. </w:t>
      </w:r>
    </w:p>
    <w:p w:rsidR="00761E4D" w:rsidRPr="0096727A" w:rsidRDefault="009C169C" w:rsidP="002F3DCF">
      <w:pPr>
        <w:pStyle w:val="ListParagraph"/>
        <w:numPr>
          <w:ilvl w:val="0"/>
          <w:numId w:val="1"/>
        </w:numPr>
        <w:jc w:val="both"/>
        <w:rPr>
          <w:rFonts w:ascii="Garamond" w:hAnsi="Garamond"/>
          <w:sz w:val="28"/>
          <w:szCs w:val="28"/>
        </w:rPr>
      </w:pPr>
      <w:r w:rsidRPr="0096727A">
        <w:rPr>
          <w:rFonts w:ascii="Garamond" w:hAnsi="Garamond"/>
          <w:sz w:val="28"/>
          <w:szCs w:val="28"/>
        </w:rPr>
        <w:t xml:space="preserve">Special New Market Tax Credit allocation to areas impacted by Hurricane Harvey. </w:t>
      </w:r>
    </w:p>
    <w:p w:rsidR="00F860C1" w:rsidRPr="00F860C1" w:rsidRDefault="009C169C" w:rsidP="00F860C1">
      <w:pPr>
        <w:pStyle w:val="ListParagraph"/>
        <w:numPr>
          <w:ilvl w:val="0"/>
          <w:numId w:val="1"/>
        </w:numPr>
        <w:rPr>
          <w:rFonts w:ascii="Garamond" w:hAnsi="Garamond"/>
          <w:color w:val="000000"/>
          <w:sz w:val="28"/>
          <w:szCs w:val="28"/>
        </w:rPr>
      </w:pPr>
      <w:r w:rsidRPr="002F3DCF">
        <w:rPr>
          <w:rFonts w:ascii="Garamond" w:hAnsi="Garamond"/>
          <w:color w:val="000000" w:themeColor="text1"/>
          <w:sz w:val="28"/>
          <w:szCs w:val="28"/>
        </w:rPr>
        <w:t xml:space="preserve">Increase the credit for rehabilitating qualifying buildings and structures damaged by Hurricane Harvey.  Taxpayers currently may claim a credit equal to 10% of qualifying expenditures to rehabilitate a qualified building or 20% for historical structures.  </w:t>
      </w:r>
    </w:p>
    <w:p w:rsidR="008D05AF" w:rsidRPr="00F860C1" w:rsidRDefault="00F860C1" w:rsidP="00F860C1">
      <w:pPr>
        <w:pStyle w:val="ListParagraph"/>
        <w:numPr>
          <w:ilvl w:val="0"/>
          <w:numId w:val="1"/>
        </w:numPr>
        <w:rPr>
          <w:rFonts w:ascii="Garamond" w:hAnsi="Garamond"/>
          <w:color w:val="000000"/>
          <w:sz w:val="28"/>
          <w:szCs w:val="28"/>
        </w:rPr>
      </w:pPr>
      <w:r w:rsidRPr="00F860C1">
        <w:rPr>
          <w:rFonts w:ascii="Garamond" w:hAnsi="Garamond"/>
          <w:sz w:val="28"/>
          <w:szCs w:val="28"/>
        </w:rPr>
        <w:t>Relax requirement for City to pledge additional security for Section 108 loans.  Cities like Houston are at a disadvantage in having to pledge double-collateral in the form of future CDBG allocations when the City can secure the loan with a lien on the property.</w:t>
      </w:r>
    </w:p>
    <w:sectPr w:rsidR="008D05AF" w:rsidRPr="00F860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44" w:rsidRDefault="00DD4F44" w:rsidP="002F3DCF">
      <w:pPr>
        <w:spacing w:after="0" w:line="240" w:lineRule="auto"/>
      </w:pPr>
      <w:r>
        <w:separator/>
      </w:r>
    </w:p>
  </w:endnote>
  <w:endnote w:type="continuationSeparator" w:id="0">
    <w:p w:rsidR="00DD4F44" w:rsidRDefault="00DD4F44" w:rsidP="002F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CF" w:rsidRDefault="002F3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CF" w:rsidRDefault="002F3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CF" w:rsidRDefault="002F3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44" w:rsidRDefault="00DD4F44" w:rsidP="002F3DCF">
      <w:pPr>
        <w:spacing w:after="0" w:line="240" w:lineRule="auto"/>
      </w:pPr>
      <w:r>
        <w:separator/>
      </w:r>
    </w:p>
  </w:footnote>
  <w:footnote w:type="continuationSeparator" w:id="0">
    <w:p w:rsidR="00DD4F44" w:rsidRDefault="00DD4F44" w:rsidP="002F3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CF" w:rsidRDefault="002F3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CF" w:rsidRDefault="002F3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CF" w:rsidRDefault="002F3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A044A"/>
    <w:multiLevelType w:val="hybridMultilevel"/>
    <w:tmpl w:val="63926AFA"/>
    <w:lvl w:ilvl="0" w:tplc="8CAC07B0">
      <w:start w:val="1"/>
      <w:numFmt w:val="bullet"/>
      <w:lvlText w:val=""/>
      <w:lvlJc w:val="left"/>
      <w:pPr>
        <w:ind w:left="795" w:hanging="360"/>
      </w:pPr>
      <w:rPr>
        <w:rFonts w:ascii="Wingdings" w:hAnsi="Wingdings" w:hint="default"/>
      </w:rPr>
    </w:lvl>
    <w:lvl w:ilvl="1" w:tplc="582CE0B0" w:tentative="1">
      <w:start w:val="1"/>
      <w:numFmt w:val="bullet"/>
      <w:lvlText w:val="o"/>
      <w:lvlJc w:val="left"/>
      <w:pPr>
        <w:ind w:left="1515" w:hanging="360"/>
      </w:pPr>
      <w:rPr>
        <w:rFonts w:ascii="Courier New" w:hAnsi="Courier New" w:cs="Courier New" w:hint="default"/>
      </w:rPr>
    </w:lvl>
    <w:lvl w:ilvl="2" w:tplc="59081412" w:tentative="1">
      <w:start w:val="1"/>
      <w:numFmt w:val="bullet"/>
      <w:lvlText w:val=""/>
      <w:lvlJc w:val="left"/>
      <w:pPr>
        <w:ind w:left="2235" w:hanging="360"/>
      </w:pPr>
      <w:rPr>
        <w:rFonts w:ascii="Wingdings" w:hAnsi="Wingdings" w:hint="default"/>
      </w:rPr>
    </w:lvl>
    <w:lvl w:ilvl="3" w:tplc="76AE6B0A" w:tentative="1">
      <w:start w:val="1"/>
      <w:numFmt w:val="bullet"/>
      <w:lvlText w:val=""/>
      <w:lvlJc w:val="left"/>
      <w:pPr>
        <w:ind w:left="2955" w:hanging="360"/>
      </w:pPr>
      <w:rPr>
        <w:rFonts w:ascii="Symbol" w:hAnsi="Symbol" w:hint="default"/>
      </w:rPr>
    </w:lvl>
    <w:lvl w:ilvl="4" w:tplc="DE1ED290" w:tentative="1">
      <w:start w:val="1"/>
      <w:numFmt w:val="bullet"/>
      <w:lvlText w:val="o"/>
      <w:lvlJc w:val="left"/>
      <w:pPr>
        <w:ind w:left="3675" w:hanging="360"/>
      </w:pPr>
      <w:rPr>
        <w:rFonts w:ascii="Courier New" w:hAnsi="Courier New" w:cs="Courier New" w:hint="default"/>
      </w:rPr>
    </w:lvl>
    <w:lvl w:ilvl="5" w:tplc="895645F4" w:tentative="1">
      <w:start w:val="1"/>
      <w:numFmt w:val="bullet"/>
      <w:lvlText w:val=""/>
      <w:lvlJc w:val="left"/>
      <w:pPr>
        <w:ind w:left="4395" w:hanging="360"/>
      </w:pPr>
      <w:rPr>
        <w:rFonts w:ascii="Wingdings" w:hAnsi="Wingdings" w:hint="default"/>
      </w:rPr>
    </w:lvl>
    <w:lvl w:ilvl="6" w:tplc="00E0FA4E" w:tentative="1">
      <w:start w:val="1"/>
      <w:numFmt w:val="bullet"/>
      <w:lvlText w:val=""/>
      <w:lvlJc w:val="left"/>
      <w:pPr>
        <w:ind w:left="5115" w:hanging="360"/>
      </w:pPr>
      <w:rPr>
        <w:rFonts w:ascii="Symbol" w:hAnsi="Symbol" w:hint="default"/>
      </w:rPr>
    </w:lvl>
    <w:lvl w:ilvl="7" w:tplc="20501280" w:tentative="1">
      <w:start w:val="1"/>
      <w:numFmt w:val="bullet"/>
      <w:lvlText w:val="o"/>
      <w:lvlJc w:val="left"/>
      <w:pPr>
        <w:ind w:left="5835" w:hanging="360"/>
      </w:pPr>
      <w:rPr>
        <w:rFonts w:ascii="Courier New" w:hAnsi="Courier New" w:cs="Courier New" w:hint="default"/>
      </w:rPr>
    </w:lvl>
    <w:lvl w:ilvl="8" w:tplc="0D444862" w:tentative="1">
      <w:start w:val="1"/>
      <w:numFmt w:val="bullet"/>
      <w:lvlText w:val=""/>
      <w:lvlJc w:val="left"/>
      <w:pPr>
        <w:ind w:left="6555" w:hanging="360"/>
      </w:pPr>
      <w:rPr>
        <w:rFonts w:ascii="Wingdings" w:hAnsi="Wingdings" w:hint="default"/>
      </w:rPr>
    </w:lvl>
  </w:abstractNum>
  <w:abstractNum w:abstractNumId="1" w15:restartNumberingAfterBreak="0">
    <w:nsid w:val="71E65EE9"/>
    <w:multiLevelType w:val="hybridMultilevel"/>
    <w:tmpl w:val="33E68480"/>
    <w:lvl w:ilvl="0" w:tplc="1D72178A">
      <w:start w:val="1"/>
      <w:numFmt w:val="bullet"/>
      <w:lvlText w:val=""/>
      <w:lvlJc w:val="left"/>
      <w:pPr>
        <w:ind w:left="360" w:hanging="360"/>
      </w:pPr>
      <w:rPr>
        <w:rFonts w:ascii="Symbol" w:hAnsi="Symbol" w:hint="default"/>
      </w:rPr>
    </w:lvl>
    <w:lvl w:ilvl="1" w:tplc="5CE08A54">
      <w:start w:val="1"/>
      <w:numFmt w:val="bullet"/>
      <w:lvlText w:val="o"/>
      <w:lvlJc w:val="left"/>
      <w:pPr>
        <w:ind w:left="1080" w:hanging="360"/>
      </w:pPr>
      <w:rPr>
        <w:rFonts w:ascii="Courier New" w:hAnsi="Courier New" w:cs="Courier New" w:hint="default"/>
      </w:rPr>
    </w:lvl>
    <w:lvl w:ilvl="2" w:tplc="56C89D10">
      <w:start w:val="1"/>
      <w:numFmt w:val="bullet"/>
      <w:lvlText w:val=""/>
      <w:lvlJc w:val="left"/>
      <w:pPr>
        <w:ind w:left="1800" w:hanging="360"/>
      </w:pPr>
      <w:rPr>
        <w:rFonts w:ascii="Wingdings" w:hAnsi="Wingdings" w:hint="default"/>
      </w:rPr>
    </w:lvl>
    <w:lvl w:ilvl="3" w:tplc="DB0ABCE2">
      <w:start w:val="1"/>
      <w:numFmt w:val="bullet"/>
      <w:lvlText w:val=""/>
      <w:lvlJc w:val="left"/>
      <w:pPr>
        <w:ind w:left="2520" w:hanging="360"/>
      </w:pPr>
      <w:rPr>
        <w:rFonts w:ascii="Symbol" w:hAnsi="Symbol" w:hint="default"/>
      </w:rPr>
    </w:lvl>
    <w:lvl w:ilvl="4" w:tplc="A09AA9E8">
      <w:start w:val="1"/>
      <w:numFmt w:val="bullet"/>
      <w:lvlText w:val="o"/>
      <w:lvlJc w:val="left"/>
      <w:pPr>
        <w:ind w:left="3240" w:hanging="360"/>
      </w:pPr>
      <w:rPr>
        <w:rFonts w:ascii="Courier New" w:hAnsi="Courier New" w:cs="Courier New" w:hint="default"/>
      </w:rPr>
    </w:lvl>
    <w:lvl w:ilvl="5" w:tplc="AFB0941A">
      <w:start w:val="1"/>
      <w:numFmt w:val="bullet"/>
      <w:lvlText w:val=""/>
      <w:lvlJc w:val="left"/>
      <w:pPr>
        <w:ind w:left="3960" w:hanging="360"/>
      </w:pPr>
      <w:rPr>
        <w:rFonts w:ascii="Wingdings" w:hAnsi="Wingdings" w:hint="default"/>
      </w:rPr>
    </w:lvl>
    <w:lvl w:ilvl="6" w:tplc="15223B98">
      <w:start w:val="1"/>
      <w:numFmt w:val="bullet"/>
      <w:lvlText w:val=""/>
      <w:lvlJc w:val="left"/>
      <w:pPr>
        <w:ind w:left="4680" w:hanging="360"/>
      </w:pPr>
      <w:rPr>
        <w:rFonts w:ascii="Symbol" w:hAnsi="Symbol" w:hint="default"/>
      </w:rPr>
    </w:lvl>
    <w:lvl w:ilvl="7" w:tplc="BCB891E6">
      <w:start w:val="1"/>
      <w:numFmt w:val="bullet"/>
      <w:lvlText w:val="o"/>
      <w:lvlJc w:val="left"/>
      <w:pPr>
        <w:ind w:left="5400" w:hanging="360"/>
      </w:pPr>
      <w:rPr>
        <w:rFonts w:ascii="Courier New" w:hAnsi="Courier New" w:cs="Courier New" w:hint="default"/>
      </w:rPr>
    </w:lvl>
    <w:lvl w:ilvl="8" w:tplc="ADD2EAF4">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CF"/>
    <w:rsid w:val="00172834"/>
    <w:rsid w:val="001823B1"/>
    <w:rsid w:val="002F3DCF"/>
    <w:rsid w:val="00445CCA"/>
    <w:rsid w:val="00473176"/>
    <w:rsid w:val="005920F9"/>
    <w:rsid w:val="006B01B8"/>
    <w:rsid w:val="009C169C"/>
    <w:rsid w:val="00BA14FE"/>
    <w:rsid w:val="00BB335B"/>
    <w:rsid w:val="00DD4F44"/>
    <w:rsid w:val="00E278BB"/>
    <w:rsid w:val="00E6412A"/>
    <w:rsid w:val="00F64AE4"/>
    <w:rsid w:val="00F8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2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BC2"/>
    <w:pPr>
      <w:ind w:left="720"/>
      <w:contextualSpacing/>
    </w:pPr>
  </w:style>
  <w:style w:type="paragraph" w:styleId="BalloonText">
    <w:name w:val="Balloon Text"/>
    <w:basedOn w:val="Normal"/>
    <w:link w:val="BalloonTextChar"/>
    <w:uiPriority w:val="99"/>
    <w:semiHidden/>
    <w:unhideWhenUsed/>
    <w:rsid w:val="00AA20B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A20B0"/>
    <w:rPr>
      <w:rFonts w:ascii="Arial" w:hAnsi="Arial" w:cs="Arial"/>
      <w:sz w:val="16"/>
      <w:szCs w:val="16"/>
    </w:rPr>
  </w:style>
  <w:style w:type="character" w:styleId="CommentReference">
    <w:name w:val="annotation reference"/>
    <w:basedOn w:val="DefaultParagraphFont"/>
    <w:uiPriority w:val="99"/>
    <w:semiHidden/>
    <w:unhideWhenUsed/>
    <w:rsid w:val="002D69BE"/>
    <w:rPr>
      <w:sz w:val="16"/>
      <w:szCs w:val="16"/>
    </w:rPr>
  </w:style>
  <w:style w:type="paragraph" w:styleId="CommentText">
    <w:name w:val="annotation text"/>
    <w:basedOn w:val="Normal"/>
    <w:link w:val="CommentTextChar"/>
    <w:uiPriority w:val="99"/>
    <w:semiHidden/>
    <w:unhideWhenUsed/>
    <w:rsid w:val="002D69BE"/>
    <w:pPr>
      <w:spacing w:line="240" w:lineRule="auto"/>
    </w:pPr>
    <w:rPr>
      <w:sz w:val="20"/>
      <w:szCs w:val="20"/>
    </w:rPr>
  </w:style>
  <w:style w:type="character" w:customStyle="1" w:styleId="CommentTextChar">
    <w:name w:val="Comment Text Char"/>
    <w:basedOn w:val="DefaultParagraphFont"/>
    <w:link w:val="CommentText"/>
    <w:uiPriority w:val="99"/>
    <w:semiHidden/>
    <w:rsid w:val="002D69BE"/>
    <w:rPr>
      <w:sz w:val="20"/>
      <w:szCs w:val="20"/>
    </w:rPr>
  </w:style>
  <w:style w:type="paragraph" w:styleId="CommentSubject">
    <w:name w:val="annotation subject"/>
    <w:basedOn w:val="CommentText"/>
    <w:next w:val="CommentText"/>
    <w:link w:val="CommentSubjectChar"/>
    <w:uiPriority w:val="99"/>
    <w:semiHidden/>
    <w:unhideWhenUsed/>
    <w:rsid w:val="002D69BE"/>
    <w:rPr>
      <w:b/>
      <w:bCs/>
    </w:rPr>
  </w:style>
  <w:style w:type="character" w:customStyle="1" w:styleId="CommentSubjectChar">
    <w:name w:val="Comment Subject Char"/>
    <w:basedOn w:val="CommentTextChar"/>
    <w:link w:val="CommentSubject"/>
    <w:uiPriority w:val="99"/>
    <w:semiHidden/>
    <w:rsid w:val="002D69BE"/>
    <w:rPr>
      <w:b/>
      <w:bCs/>
      <w:sz w:val="20"/>
      <w:szCs w:val="20"/>
    </w:rPr>
  </w:style>
  <w:style w:type="paragraph" w:customStyle="1" w:styleId="Default">
    <w:name w:val="Default"/>
    <w:basedOn w:val="Normal"/>
    <w:rsid w:val="0096727A"/>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CF"/>
  </w:style>
  <w:style w:type="paragraph" w:styleId="Footer">
    <w:name w:val="footer"/>
    <w:basedOn w:val="Normal"/>
    <w:link w:val="FooterChar"/>
    <w:uiPriority w:val="99"/>
    <w:unhideWhenUsed/>
    <w:rsid w:val="002F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CF"/>
  </w:style>
  <w:style w:type="paragraph" w:styleId="NormalWeb">
    <w:name w:val="Normal (Web)"/>
    <w:basedOn w:val="Normal"/>
    <w:uiPriority w:val="99"/>
    <w:semiHidden/>
    <w:unhideWhenUsed/>
    <w:rsid w:val="00E6412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EDE0-CAD3-4BBA-85BC-D0BBBBBA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2017-11-15T18:17:00Z</dcterms:created>
  <dcterms:modified xsi:type="dcterms:W3CDTF">2017-11-15T18:19:00Z</dcterms:modified>
</cp:coreProperties>
</file>